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6C" w:rsidRPr="00EE42C1" w:rsidRDefault="00967A6C" w:rsidP="004B1725">
      <w:pPr>
        <w:spacing w:line="280" w:lineRule="exact"/>
        <w:ind w:firstLine="4536"/>
        <w:jc w:val="both"/>
        <w:rPr>
          <w:sz w:val="29"/>
          <w:szCs w:val="29"/>
        </w:rPr>
      </w:pPr>
    </w:p>
    <w:p w:rsidR="004B1725" w:rsidRPr="00EE42C1" w:rsidRDefault="004B1725" w:rsidP="004B1725">
      <w:pPr>
        <w:spacing w:line="280" w:lineRule="exact"/>
        <w:ind w:firstLine="4536"/>
        <w:jc w:val="both"/>
        <w:rPr>
          <w:sz w:val="29"/>
          <w:szCs w:val="29"/>
        </w:rPr>
      </w:pPr>
    </w:p>
    <w:p w:rsidR="00BE4003" w:rsidRPr="00EE42C1" w:rsidRDefault="004B1725" w:rsidP="00BE4003">
      <w:pPr>
        <w:spacing w:line="280" w:lineRule="exact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О </w:t>
      </w:r>
      <w:r w:rsidR="00BE4003" w:rsidRPr="00EE42C1">
        <w:rPr>
          <w:sz w:val="29"/>
          <w:szCs w:val="29"/>
        </w:rPr>
        <w:t xml:space="preserve"> Соглашении в рамках</w:t>
      </w:r>
      <w:r w:rsidR="00D142D2">
        <w:rPr>
          <w:sz w:val="29"/>
          <w:szCs w:val="29"/>
        </w:rPr>
        <w:t xml:space="preserve"> </w:t>
      </w:r>
      <w:r w:rsidR="00BE4003" w:rsidRPr="00EE42C1">
        <w:rPr>
          <w:sz w:val="29"/>
          <w:szCs w:val="29"/>
        </w:rPr>
        <w:t>ЕАЭС</w:t>
      </w:r>
    </w:p>
    <w:p w:rsidR="004B1725" w:rsidRPr="00EE42C1" w:rsidRDefault="004B1725" w:rsidP="004B1725">
      <w:pPr>
        <w:jc w:val="both"/>
        <w:rPr>
          <w:sz w:val="29"/>
          <w:szCs w:val="29"/>
        </w:rPr>
      </w:pPr>
    </w:p>
    <w:p w:rsidR="004B1725" w:rsidRPr="00EE42C1" w:rsidRDefault="004B1725" w:rsidP="004B1725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Информируем, что </w:t>
      </w:r>
      <w:r w:rsidR="00373B4B" w:rsidRPr="00EE42C1">
        <w:rPr>
          <w:b/>
          <w:sz w:val="29"/>
          <w:szCs w:val="29"/>
        </w:rPr>
        <w:t xml:space="preserve">1 </w:t>
      </w:r>
      <w:r w:rsidR="00BE4003" w:rsidRPr="00EE42C1">
        <w:rPr>
          <w:b/>
          <w:sz w:val="29"/>
          <w:szCs w:val="29"/>
        </w:rPr>
        <w:t xml:space="preserve">января </w:t>
      </w:r>
      <w:r w:rsidR="00373B4B" w:rsidRPr="00EE42C1">
        <w:rPr>
          <w:sz w:val="29"/>
          <w:szCs w:val="29"/>
        </w:rPr>
        <w:t xml:space="preserve"> </w:t>
      </w:r>
      <w:r w:rsidRPr="00EE42C1">
        <w:rPr>
          <w:b/>
          <w:sz w:val="29"/>
          <w:szCs w:val="29"/>
        </w:rPr>
        <w:t>202</w:t>
      </w:r>
      <w:r w:rsidR="00BE4003" w:rsidRPr="00EE42C1">
        <w:rPr>
          <w:b/>
          <w:sz w:val="29"/>
          <w:szCs w:val="29"/>
        </w:rPr>
        <w:t>1</w:t>
      </w:r>
      <w:r w:rsidRPr="00EE42C1">
        <w:rPr>
          <w:b/>
          <w:sz w:val="29"/>
          <w:szCs w:val="29"/>
        </w:rPr>
        <w:t xml:space="preserve"> г. </w:t>
      </w:r>
      <w:r w:rsidRPr="00EE42C1">
        <w:rPr>
          <w:sz w:val="29"/>
          <w:szCs w:val="29"/>
        </w:rPr>
        <w:t>вступ</w:t>
      </w:r>
      <w:r w:rsidR="007B3FCE" w:rsidRPr="00EE42C1">
        <w:rPr>
          <w:sz w:val="29"/>
          <w:szCs w:val="29"/>
        </w:rPr>
        <w:t xml:space="preserve">ило в силу Соглашение о пенсионном обеспечении трудящихся государств – членов Евразийского экономического союза от 20 декабря 2019 года. </w:t>
      </w:r>
    </w:p>
    <w:p w:rsidR="004B1725" w:rsidRPr="00EE42C1" w:rsidRDefault="004B1725" w:rsidP="004B1725">
      <w:pPr>
        <w:spacing w:line="280" w:lineRule="exact"/>
        <w:ind w:firstLine="709"/>
        <w:jc w:val="both"/>
        <w:rPr>
          <w:b/>
          <w:sz w:val="29"/>
          <w:szCs w:val="29"/>
        </w:rPr>
      </w:pPr>
      <w:r w:rsidRPr="00EE42C1">
        <w:rPr>
          <w:b/>
          <w:sz w:val="29"/>
          <w:szCs w:val="29"/>
        </w:rPr>
        <w:t>Круг лиц, на которых распространяется Договор</w:t>
      </w:r>
    </w:p>
    <w:p w:rsidR="007B3FCE" w:rsidRPr="00EE42C1" w:rsidRDefault="007B3FCE" w:rsidP="007B3FCE">
      <w:pPr>
        <w:ind w:firstLine="709"/>
        <w:jc w:val="both"/>
        <w:rPr>
          <w:b/>
          <w:color w:val="443F3F"/>
          <w:sz w:val="29"/>
          <w:szCs w:val="29"/>
        </w:rPr>
      </w:pPr>
      <w:r w:rsidRPr="00EE42C1">
        <w:rPr>
          <w:sz w:val="29"/>
          <w:szCs w:val="29"/>
        </w:rPr>
        <w:t xml:space="preserve">Соглашение распространяется на </w:t>
      </w:r>
      <w:r w:rsidRPr="00EE42C1">
        <w:rPr>
          <w:b/>
          <w:sz w:val="29"/>
          <w:szCs w:val="29"/>
        </w:rPr>
        <w:t xml:space="preserve">граждан государств-членов </w:t>
      </w:r>
      <w:r w:rsidR="00E3074C" w:rsidRPr="00EE42C1">
        <w:rPr>
          <w:b/>
          <w:sz w:val="29"/>
          <w:szCs w:val="29"/>
        </w:rPr>
        <w:t>Евразийского экономического союза (</w:t>
      </w:r>
      <w:r w:rsidRPr="00EE42C1">
        <w:rPr>
          <w:b/>
          <w:sz w:val="29"/>
          <w:szCs w:val="29"/>
        </w:rPr>
        <w:t>ЕАЭС</w:t>
      </w:r>
      <w:r w:rsidR="00E3074C" w:rsidRPr="00EE42C1">
        <w:rPr>
          <w:b/>
          <w:sz w:val="29"/>
          <w:szCs w:val="29"/>
        </w:rPr>
        <w:t>)</w:t>
      </w:r>
      <w:r w:rsidR="00C708FA" w:rsidRPr="00EE42C1">
        <w:rPr>
          <w:sz w:val="29"/>
          <w:szCs w:val="29"/>
        </w:rPr>
        <w:t xml:space="preserve"> (Республики Беларусь, Республики Армения, Республики Казахстан, Кыргызской Республики, Российской Федерации)</w:t>
      </w:r>
      <w:r w:rsidRPr="00EE42C1">
        <w:rPr>
          <w:sz w:val="29"/>
          <w:szCs w:val="29"/>
        </w:rPr>
        <w:t xml:space="preserve">, </w:t>
      </w:r>
      <w:r w:rsidRPr="00EE42C1">
        <w:rPr>
          <w:b/>
          <w:sz w:val="29"/>
          <w:szCs w:val="29"/>
        </w:rPr>
        <w:t>проживающих  и имеющих стаж</w:t>
      </w:r>
      <w:r w:rsidRPr="00EE42C1">
        <w:rPr>
          <w:sz w:val="29"/>
          <w:szCs w:val="29"/>
        </w:rPr>
        <w:t xml:space="preserve"> на территориях указанных государств, приобретенный </w:t>
      </w:r>
      <w:r w:rsidR="00C708FA" w:rsidRPr="00EE42C1">
        <w:rPr>
          <w:sz w:val="29"/>
          <w:szCs w:val="29"/>
        </w:rPr>
        <w:t xml:space="preserve"> </w:t>
      </w:r>
      <w:r w:rsidRPr="00EE42C1">
        <w:rPr>
          <w:b/>
          <w:sz w:val="29"/>
          <w:szCs w:val="29"/>
        </w:rPr>
        <w:t xml:space="preserve">после </w:t>
      </w:r>
      <w:r w:rsidR="00C708FA" w:rsidRPr="00EE42C1">
        <w:rPr>
          <w:b/>
          <w:sz w:val="29"/>
          <w:szCs w:val="29"/>
        </w:rPr>
        <w:t xml:space="preserve"> </w:t>
      </w:r>
      <w:r w:rsidRPr="00EE42C1">
        <w:rPr>
          <w:b/>
          <w:sz w:val="29"/>
          <w:szCs w:val="29"/>
        </w:rPr>
        <w:t>вступления в силу Соглашения, т.е. после 1 января 2021</w:t>
      </w:r>
      <w:r w:rsidRPr="00EE42C1">
        <w:rPr>
          <w:b/>
          <w:color w:val="443F3F"/>
          <w:sz w:val="29"/>
          <w:szCs w:val="29"/>
        </w:rPr>
        <w:t xml:space="preserve"> г.</w:t>
      </w:r>
    </w:p>
    <w:p w:rsidR="004B1725" w:rsidRPr="00EE42C1" w:rsidRDefault="004B1725" w:rsidP="004B1725">
      <w:pPr>
        <w:ind w:firstLine="709"/>
        <w:jc w:val="both"/>
        <w:rPr>
          <w:b/>
          <w:sz w:val="29"/>
          <w:szCs w:val="29"/>
        </w:rPr>
      </w:pPr>
      <w:r w:rsidRPr="00EE42C1">
        <w:rPr>
          <w:b/>
          <w:sz w:val="29"/>
          <w:szCs w:val="29"/>
        </w:rPr>
        <w:t>Предмет Договора</w:t>
      </w:r>
    </w:p>
    <w:p w:rsidR="004B1725" w:rsidRPr="00EE42C1" w:rsidRDefault="004B1725" w:rsidP="004B1725">
      <w:pPr>
        <w:ind w:firstLine="720"/>
        <w:jc w:val="both"/>
        <w:rPr>
          <w:sz w:val="29"/>
          <w:szCs w:val="29"/>
          <w:lang w:val="be-BY"/>
        </w:rPr>
      </w:pPr>
      <w:r w:rsidRPr="00EE42C1">
        <w:rPr>
          <w:sz w:val="29"/>
          <w:szCs w:val="29"/>
          <w:lang w:val="be-BY"/>
        </w:rPr>
        <w:t xml:space="preserve">Предметом правового регулирования </w:t>
      </w:r>
      <w:r w:rsidR="000A7E40" w:rsidRPr="00EE42C1">
        <w:rPr>
          <w:sz w:val="29"/>
          <w:szCs w:val="29"/>
          <w:lang w:val="be-BY"/>
        </w:rPr>
        <w:t xml:space="preserve">Соглашения </w:t>
      </w:r>
      <w:r w:rsidRPr="00EE42C1">
        <w:rPr>
          <w:sz w:val="29"/>
          <w:szCs w:val="29"/>
          <w:lang w:val="be-BY"/>
        </w:rPr>
        <w:t>являются вопросы:</w:t>
      </w:r>
    </w:p>
    <w:p w:rsidR="000A7E40" w:rsidRPr="00EE42C1" w:rsidRDefault="000A7E40" w:rsidP="000A7E40">
      <w:pPr>
        <w:ind w:firstLine="709"/>
        <w:jc w:val="both"/>
        <w:rPr>
          <w:sz w:val="29"/>
          <w:szCs w:val="29"/>
        </w:rPr>
      </w:pPr>
      <w:r w:rsidRPr="00EE42C1">
        <w:rPr>
          <w:b/>
          <w:sz w:val="29"/>
          <w:szCs w:val="29"/>
        </w:rPr>
        <w:sym w:font="Symbol" w:char="F0DE"/>
      </w:r>
      <w:r w:rsidRPr="00EE42C1">
        <w:rPr>
          <w:b/>
          <w:sz w:val="29"/>
          <w:szCs w:val="29"/>
        </w:rPr>
        <w:t xml:space="preserve"> уплаты пенсионных взносов</w:t>
      </w:r>
    </w:p>
    <w:p w:rsidR="000A7E40" w:rsidRPr="00EE42C1" w:rsidRDefault="000A7E40" w:rsidP="000A7E40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Согласно Соглашению  уплата  пенсионных взносов будет производиться в соответствии с законодательством государства, на территории которого граждане выполняют работу, независимо от их места проживания</w:t>
      </w:r>
      <w:r w:rsidR="00394F26" w:rsidRPr="00EE42C1">
        <w:rPr>
          <w:sz w:val="29"/>
          <w:szCs w:val="29"/>
        </w:rPr>
        <w:t xml:space="preserve"> (статья 3 Соглашения)</w:t>
      </w:r>
      <w:r w:rsidRPr="00EE42C1">
        <w:rPr>
          <w:sz w:val="29"/>
          <w:szCs w:val="29"/>
        </w:rPr>
        <w:t>.</w:t>
      </w:r>
    </w:p>
    <w:p w:rsidR="000A7E40" w:rsidRPr="00EE42C1" w:rsidRDefault="000A7E40" w:rsidP="000A7E40">
      <w:pPr>
        <w:ind w:firstLine="709"/>
        <w:jc w:val="both"/>
        <w:rPr>
          <w:sz w:val="29"/>
          <w:szCs w:val="29"/>
        </w:rPr>
      </w:pPr>
      <w:r w:rsidRPr="00EE42C1">
        <w:rPr>
          <w:b/>
          <w:sz w:val="29"/>
          <w:szCs w:val="29"/>
        </w:rPr>
        <w:sym w:font="Symbol" w:char="F0DE"/>
      </w:r>
      <w:r w:rsidRPr="00EE42C1">
        <w:rPr>
          <w:b/>
          <w:sz w:val="29"/>
          <w:szCs w:val="29"/>
        </w:rPr>
        <w:t xml:space="preserve"> </w:t>
      </w:r>
      <w:r w:rsidRPr="00EE42C1">
        <w:rPr>
          <w:sz w:val="29"/>
          <w:szCs w:val="29"/>
        </w:rPr>
        <w:t>назначения и выплаты:</w:t>
      </w:r>
    </w:p>
    <w:p w:rsidR="000A7E40" w:rsidRPr="00EE42C1" w:rsidRDefault="000A7E40" w:rsidP="000A7E40">
      <w:pPr>
        <w:ind w:firstLine="709"/>
        <w:jc w:val="both"/>
        <w:rPr>
          <w:b/>
          <w:sz w:val="29"/>
          <w:szCs w:val="29"/>
          <w:u w:val="single"/>
        </w:rPr>
      </w:pPr>
      <w:r w:rsidRPr="00EE42C1">
        <w:rPr>
          <w:b/>
          <w:sz w:val="29"/>
          <w:szCs w:val="29"/>
          <w:u w:val="single"/>
        </w:rPr>
        <w:t>в Республике Беларусь:</w:t>
      </w:r>
    </w:p>
    <w:p w:rsidR="000A7E40" w:rsidRPr="00EE42C1" w:rsidRDefault="000A7E40" w:rsidP="000A7E40">
      <w:pPr>
        <w:tabs>
          <w:tab w:val="left" w:pos="10076"/>
        </w:tabs>
        <w:spacing w:after="100"/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трудовой пенсии (по возрасту, за выслугу лет (кроме пенсий военнослужащих, приравненных к ним лиц, членов их семей и государственных служащих), по инвалидности, по случаю потери кормильца)</w:t>
      </w:r>
      <w:r w:rsidR="00394F26" w:rsidRPr="00EE42C1">
        <w:rPr>
          <w:sz w:val="29"/>
          <w:szCs w:val="29"/>
        </w:rPr>
        <w:t xml:space="preserve"> (подпункт 2.2 пункта 2 Соглашения)</w:t>
      </w:r>
      <w:r w:rsidRPr="00EE42C1">
        <w:rPr>
          <w:sz w:val="29"/>
          <w:szCs w:val="29"/>
        </w:rPr>
        <w:t>;</w:t>
      </w:r>
    </w:p>
    <w:p w:rsidR="004E0922" w:rsidRPr="00EE42C1" w:rsidRDefault="004E0922" w:rsidP="000A7E40">
      <w:pPr>
        <w:ind w:firstLine="709"/>
        <w:jc w:val="both"/>
        <w:rPr>
          <w:b/>
          <w:sz w:val="29"/>
          <w:szCs w:val="29"/>
          <w:u w:val="single"/>
        </w:rPr>
      </w:pPr>
    </w:p>
    <w:p w:rsidR="000A7E40" w:rsidRPr="00EE42C1" w:rsidRDefault="000A7E40" w:rsidP="000A7E40">
      <w:pPr>
        <w:ind w:firstLine="709"/>
        <w:jc w:val="both"/>
        <w:rPr>
          <w:b/>
          <w:sz w:val="29"/>
          <w:szCs w:val="29"/>
          <w:u w:val="single"/>
        </w:rPr>
      </w:pPr>
      <w:r w:rsidRPr="00EE42C1">
        <w:rPr>
          <w:b/>
          <w:sz w:val="29"/>
          <w:szCs w:val="29"/>
          <w:u w:val="single"/>
        </w:rPr>
        <w:t>в Республике Армения: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1) трудовой  пенсии (по возрасту, на льготных условиях, за выслугу лет, по инвалидности, по случаю потери кормильца, частичной);</w:t>
      </w:r>
    </w:p>
    <w:p w:rsidR="000A7E40" w:rsidRPr="00EE42C1" w:rsidRDefault="000A7E40" w:rsidP="000A7E40">
      <w:pPr>
        <w:tabs>
          <w:tab w:val="left" w:pos="10076"/>
        </w:tabs>
        <w:spacing w:after="100"/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2) обязательной накопительной пенсии (аннуитет, программная выплата, единовременная выплата, единовременная выплата наследникам)</w:t>
      </w:r>
      <w:r w:rsidR="00394F26" w:rsidRPr="00EE42C1">
        <w:rPr>
          <w:sz w:val="29"/>
          <w:szCs w:val="29"/>
        </w:rPr>
        <w:t xml:space="preserve"> (подпункт 2.1 пункта 2 Соглашения)</w:t>
      </w:r>
      <w:r w:rsidRPr="00EE42C1">
        <w:rPr>
          <w:sz w:val="29"/>
          <w:szCs w:val="29"/>
        </w:rPr>
        <w:t>;</w:t>
      </w:r>
    </w:p>
    <w:p w:rsidR="000A7E40" w:rsidRPr="00EE42C1" w:rsidRDefault="000A7E40" w:rsidP="000A7E40">
      <w:pPr>
        <w:tabs>
          <w:tab w:val="left" w:pos="10076"/>
        </w:tabs>
        <w:ind w:firstLine="709"/>
        <w:jc w:val="both"/>
        <w:rPr>
          <w:b/>
          <w:sz w:val="29"/>
          <w:szCs w:val="29"/>
          <w:u w:val="single"/>
        </w:rPr>
      </w:pPr>
      <w:r w:rsidRPr="00EE42C1">
        <w:rPr>
          <w:b/>
          <w:sz w:val="29"/>
          <w:szCs w:val="29"/>
          <w:u w:val="single"/>
        </w:rPr>
        <w:t>в Республике Казахстан: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пенсионных выплат из единого накопительного пенсионного фонда за счет сформированных пенсионных взносов (по достижении пенсионного возраста, при установлении инвалидности первой и второй групп, если инвалидность установлена бессрочно, единовременная выплата наследникам)</w:t>
      </w:r>
      <w:r w:rsidR="00394F26" w:rsidRPr="00EE42C1">
        <w:rPr>
          <w:sz w:val="29"/>
          <w:szCs w:val="29"/>
        </w:rPr>
        <w:t xml:space="preserve"> (подпункт 2.3 пункта 2 Соглашения)</w:t>
      </w:r>
      <w:r w:rsidRPr="00EE42C1">
        <w:rPr>
          <w:sz w:val="29"/>
          <w:szCs w:val="29"/>
        </w:rPr>
        <w:t>;</w:t>
      </w:r>
    </w:p>
    <w:p w:rsidR="000A7E40" w:rsidRPr="00EE42C1" w:rsidRDefault="000A7E40" w:rsidP="000A7E40">
      <w:pPr>
        <w:tabs>
          <w:tab w:val="left" w:pos="10076"/>
        </w:tabs>
        <w:ind w:firstLine="709"/>
        <w:jc w:val="both"/>
        <w:rPr>
          <w:b/>
          <w:sz w:val="29"/>
          <w:szCs w:val="29"/>
          <w:u w:val="single"/>
        </w:rPr>
      </w:pPr>
      <w:r w:rsidRPr="00EE42C1">
        <w:rPr>
          <w:b/>
          <w:sz w:val="29"/>
          <w:szCs w:val="29"/>
          <w:u w:val="single"/>
        </w:rPr>
        <w:t>в Кыргызской Республике: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lastRenderedPageBreak/>
        <w:t>1) пенсии по государственному социальному страхованию (по возрасту, по инвалидности, по случаю потери кормильца);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2) накопительной части пенсии из средств государственного накопительного пенсионного фонда;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3) выплат за счет средств пенсионных накоплений из средств государственного накопительного пенсионного фонда</w:t>
      </w:r>
      <w:r w:rsidR="00394F26" w:rsidRPr="00EE42C1">
        <w:rPr>
          <w:sz w:val="29"/>
          <w:szCs w:val="29"/>
        </w:rPr>
        <w:t xml:space="preserve"> (подпункт 2.4 пункта 2 Соглашения)</w:t>
      </w:r>
      <w:r w:rsidRPr="00EE42C1">
        <w:rPr>
          <w:sz w:val="29"/>
          <w:szCs w:val="29"/>
        </w:rPr>
        <w:t>;</w:t>
      </w:r>
    </w:p>
    <w:p w:rsidR="000A7E40" w:rsidRPr="00EE42C1" w:rsidRDefault="000A7E40" w:rsidP="000A7E40">
      <w:pPr>
        <w:tabs>
          <w:tab w:val="left" w:pos="10076"/>
        </w:tabs>
        <w:ind w:firstLine="709"/>
        <w:jc w:val="both"/>
        <w:rPr>
          <w:b/>
          <w:sz w:val="29"/>
          <w:szCs w:val="29"/>
          <w:u w:val="single"/>
        </w:rPr>
      </w:pPr>
      <w:r w:rsidRPr="00EE42C1">
        <w:rPr>
          <w:b/>
          <w:sz w:val="29"/>
          <w:szCs w:val="29"/>
          <w:u w:val="single"/>
        </w:rPr>
        <w:t>в Российской Федерации: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1) страховой пенсии (по старости, по инвалидности, по случаю потери кормильца);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2) фиксированной выплаты к страховой пенсии, повышения и (или) увеличения фиксированной выплаты к страховой пенсии и доплаты к страховой пенсии;</w:t>
      </w:r>
    </w:p>
    <w:p w:rsidR="000A7E40" w:rsidRPr="00EE42C1" w:rsidRDefault="000A7E40" w:rsidP="000A7E40">
      <w:pPr>
        <w:tabs>
          <w:tab w:val="left" w:pos="10076"/>
        </w:tabs>
        <w:ind w:firstLine="720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3) накопительной пенсии и иных выплат за счет средств пенсионных накоплений</w:t>
      </w:r>
      <w:r w:rsidR="00394F26" w:rsidRPr="00EE42C1">
        <w:rPr>
          <w:sz w:val="29"/>
          <w:szCs w:val="29"/>
        </w:rPr>
        <w:t xml:space="preserve"> (подпункт 2.5 пункта 2 Соглашения)</w:t>
      </w:r>
      <w:r w:rsidRPr="00EE42C1">
        <w:rPr>
          <w:sz w:val="29"/>
          <w:szCs w:val="29"/>
        </w:rPr>
        <w:t>.</w:t>
      </w:r>
    </w:p>
    <w:p w:rsidR="00394F26" w:rsidRPr="00EE42C1" w:rsidRDefault="004B1725" w:rsidP="004B1725">
      <w:pPr>
        <w:ind w:firstLine="709"/>
        <w:jc w:val="both"/>
        <w:rPr>
          <w:b/>
          <w:sz w:val="29"/>
          <w:szCs w:val="29"/>
        </w:rPr>
      </w:pPr>
      <w:r w:rsidRPr="00EE42C1">
        <w:rPr>
          <w:b/>
          <w:sz w:val="29"/>
          <w:szCs w:val="29"/>
        </w:rPr>
        <w:t xml:space="preserve">Назначение и выплата пенсий </w:t>
      </w:r>
      <w:r w:rsidR="000A7E40" w:rsidRPr="00EE42C1">
        <w:rPr>
          <w:b/>
          <w:sz w:val="29"/>
          <w:szCs w:val="29"/>
        </w:rPr>
        <w:t xml:space="preserve">по нормам Соглашения </w:t>
      </w:r>
    </w:p>
    <w:p w:rsidR="00760CBB" w:rsidRPr="00EE42C1" w:rsidRDefault="00394F26" w:rsidP="00760CBB">
      <w:pPr>
        <w:spacing w:after="60"/>
        <w:ind w:firstLine="709"/>
        <w:jc w:val="both"/>
        <w:rPr>
          <w:sz w:val="29"/>
          <w:szCs w:val="29"/>
        </w:rPr>
      </w:pPr>
      <w:proofErr w:type="gramStart"/>
      <w:r w:rsidRPr="00EE42C1">
        <w:rPr>
          <w:sz w:val="29"/>
          <w:szCs w:val="29"/>
        </w:rPr>
        <w:t>Каждое государство-</w:t>
      </w:r>
      <w:r w:rsidR="00E3074C" w:rsidRPr="00EE42C1">
        <w:rPr>
          <w:sz w:val="29"/>
          <w:szCs w:val="29"/>
        </w:rPr>
        <w:t>член ЕАЭС</w:t>
      </w:r>
      <w:r w:rsidRPr="00EE42C1">
        <w:rPr>
          <w:sz w:val="29"/>
          <w:szCs w:val="29"/>
        </w:rPr>
        <w:t xml:space="preserve"> будет назначать пенсию и исчислять её размер за стаж </w:t>
      </w:r>
      <w:r w:rsidR="00760CBB" w:rsidRPr="00EE42C1">
        <w:rPr>
          <w:sz w:val="29"/>
          <w:szCs w:val="29"/>
        </w:rPr>
        <w:t xml:space="preserve">работы </w:t>
      </w:r>
      <w:r w:rsidRPr="00EE42C1">
        <w:rPr>
          <w:sz w:val="29"/>
          <w:szCs w:val="29"/>
        </w:rPr>
        <w:t xml:space="preserve">на его территории  </w:t>
      </w:r>
      <w:r w:rsidRPr="00EE42C1">
        <w:rPr>
          <w:b/>
          <w:sz w:val="29"/>
          <w:szCs w:val="29"/>
        </w:rPr>
        <w:t>после вступления в силу Соглашения, т.е. после 1 января 2021 г.</w:t>
      </w:r>
      <w:r w:rsidRPr="00EE42C1">
        <w:rPr>
          <w:sz w:val="29"/>
          <w:szCs w:val="29"/>
        </w:rPr>
        <w:t xml:space="preserve"> При этом для назначения пенсии (за исключением трудовых (страховых) пенсий по инвалидности и по случаю потери кормильца, накопительной пенсии) </w:t>
      </w:r>
      <w:r w:rsidRPr="00EE42C1">
        <w:rPr>
          <w:b/>
          <w:sz w:val="29"/>
          <w:szCs w:val="29"/>
        </w:rPr>
        <w:t xml:space="preserve">стаж </w:t>
      </w:r>
      <w:r w:rsidRPr="00EE42C1">
        <w:rPr>
          <w:sz w:val="29"/>
          <w:szCs w:val="29"/>
        </w:rPr>
        <w:t xml:space="preserve">на территории государства-участника Соглашения должен составлять </w:t>
      </w:r>
      <w:r w:rsidRPr="00EE42C1">
        <w:rPr>
          <w:b/>
          <w:sz w:val="29"/>
          <w:szCs w:val="29"/>
        </w:rPr>
        <w:t>не менее 12 полных месяцев</w:t>
      </w:r>
      <w:r w:rsidR="00760CBB" w:rsidRPr="00EE42C1">
        <w:rPr>
          <w:b/>
          <w:sz w:val="29"/>
          <w:szCs w:val="29"/>
        </w:rPr>
        <w:t xml:space="preserve"> </w:t>
      </w:r>
      <w:r w:rsidR="00760CBB" w:rsidRPr="00EE42C1">
        <w:rPr>
          <w:sz w:val="29"/>
          <w:szCs w:val="29"/>
        </w:rPr>
        <w:t>(пункт</w:t>
      </w:r>
      <w:r w:rsidR="00E3074C" w:rsidRPr="00EE42C1">
        <w:rPr>
          <w:sz w:val="29"/>
          <w:szCs w:val="29"/>
        </w:rPr>
        <w:t>ы</w:t>
      </w:r>
      <w:proofErr w:type="gramEnd"/>
      <w:r w:rsidR="00E3074C" w:rsidRPr="00EE42C1">
        <w:rPr>
          <w:sz w:val="29"/>
          <w:szCs w:val="29"/>
        </w:rPr>
        <w:t xml:space="preserve"> </w:t>
      </w:r>
      <w:proofErr w:type="gramStart"/>
      <w:r w:rsidR="00E3074C" w:rsidRPr="00EE42C1">
        <w:rPr>
          <w:sz w:val="29"/>
          <w:szCs w:val="29"/>
        </w:rPr>
        <w:t>1 и</w:t>
      </w:r>
      <w:r w:rsidR="00760CBB" w:rsidRPr="00EE42C1">
        <w:rPr>
          <w:sz w:val="29"/>
          <w:szCs w:val="29"/>
        </w:rPr>
        <w:t xml:space="preserve"> 5 статьи 7 и статья 12 Соглашения)</w:t>
      </w:r>
      <w:r w:rsidRPr="00EE42C1">
        <w:rPr>
          <w:sz w:val="29"/>
          <w:szCs w:val="29"/>
        </w:rPr>
        <w:t xml:space="preserve">. </w:t>
      </w:r>
      <w:proofErr w:type="gramEnd"/>
    </w:p>
    <w:p w:rsidR="00394F26" w:rsidRPr="00EE42C1" w:rsidRDefault="00760CBB" w:rsidP="00760CBB">
      <w:pPr>
        <w:spacing w:after="100"/>
        <w:ind w:firstLine="709"/>
        <w:jc w:val="both"/>
        <w:rPr>
          <w:sz w:val="29"/>
          <w:szCs w:val="29"/>
        </w:rPr>
      </w:pPr>
      <w:r w:rsidRPr="00EE42C1">
        <w:rPr>
          <w:i/>
          <w:sz w:val="29"/>
          <w:szCs w:val="29"/>
        </w:rPr>
        <w:t>Стаж работы</w:t>
      </w:r>
      <w:r w:rsidR="00E3074C" w:rsidRPr="00EE42C1">
        <w:rPr>
          <w:i/>
          <w:sz w:val="29"/>
          <w:szCs w:val="29"/>
        </w:rPr>
        <w:t xml:space="preserve"> </w:t>
      </w:r>
      <w:r w:rsidRPr="00EE42C1">
        <w:rPr>
          <w:i/>
          <w:sz w:val="29"/>
          <w:szCs w:val="29"/>
        </w:rPr>
        <w:t>- период работы и (или) иной деятельности</w:t>
      </w:r>
      <w:r w:rsidR="00EE42C1" w:rsidRPr="00EE42C1">
        <w:rPr>
          <w:i/>
          <w:sz w:val="29"/>
          <w:szCs w:val="29"/>
        </w:rPr>
        <w:t xml:space="preserve"> </w:t>
      </w:r>
      <w:r w:rsidRPr="00EE42C1">
        <w:rPr>
          <w:i/>
          <w:sz w:val="29"/>
          <w:szCs w:val="29"/>
        </w:rPr>
        <w:t>(в том числе с уплатой пенсионных взносов), а также иные периоды, учитываемые в соответствии с законодательством государства-члена при определении права на пенсию и исчислении ее размера.</w:t>
      </w:r>
      <w:r w:rsidR="00394F26" w:rsidRPr="00EE42C1">
        <w:rPr>
          <w:sz w:val="29"/>
          <w:szCs w:val="29"/>
        </w:rPr>
        <w:t xml:space="preserve"> </w:t>
      </w:r>
    </w:p>
    <w:p w:rsidR="00394F26" w:rsidRPr="00EE42C1" w:rsidRDefault="00394F26" w:rsidP="00394F26">
      <w:pPr>
        <w:ind w:firstLine="709"/>
        <w:jc w:val="both"/>
        <w:rPr>
          <w:sz w:val="29"/>
          <w:szCs w:val="29"/>
        </w:rPr>
      </w:pPr>
      <w:proofErr w:type="gramStart"/>
      <w:r w:rsidRPr="00EE42C1">
        <w:rPr>
          <w:sz w:val="29"/>
          <w:szCs w:val="29"/>
        </w:rPr>
        <w:t xml:space="preserve">За стаж </w:t>
      </w:r>
      <w:r w:rsidR="00760CBB" w:rsidRPr="00EE42C1">
        <w:rPr>
          <w:sz w:val="29"/>
          <w:szCs w:val="29"/>
        </w:rPr>
        <w:t xml:space="preserve">работы </w:t>
      </w:r>
      <w:r w:rsidRPr="00EE42C1">
        <w:rPr>
          <w:b/>
          <w:sz w:val="29"/>
          <w:szCs w:val="29"/>
        </w:rPr>
        <w:t>до вступления в силу Соглашен</w:t>
      </w:r>
      <w:r w:rsidRPr="00EE42C1">
        <w:rPr>
          <w:sz w:val="29"/>
          <w:szCs w:val="29"/>
        </w:rPr>
        <w:t>ия (</w:t>
      </w:r>
      <w:r w:rsidRPr="00EE42C1">
        <w:rPr>
          <w:b/>
          <w:sz w:val="29"/>
          <w:szCs w:val="29"/>
        </w:rPr>
        <w:t>до 1 января 2021 г.</w:t>
      </w:r>
      <w:r w:rsidRPr="00EE42C1">
        <w:rPr>
          <w:sz w:val="29"/>
          <w:szCs w:val="29"/>
        </w:rPr>
        <w:t>) пенсия будет назначаться и выплачиваться в соответствии с законодательством государства-</w:t>
      </w:r>
      <w:r w:rsidR="00E3074C" w:rsidRPr="00EE42C1">
        <w:rPr>
          <w:sz w:val="29"/>
          <w:szCs w:val="29"/>
        </w:rPr>
        <w:t>члена ЕАЭС</w:t>
      </w:r>
      <w:r w:rsidRPr="00EE42C1">
        <w:rPr>
          <w:sz w:val="29"/>
          <w:szCs w:val="29"/>
        </w:rPr>
        <w:t xml:space="preserve"> с учетом Соглашения о гарантиях прав граждан государств – участников Содружества Независимых Государств в области пенсионного обеспечения от 13 марта 1992 года, а для Республики Беларусь и Российской Федерации – с учетом Договора между Республикой Беларусь и Российской</w:t>
      </w:r>
      <w:proofErr w:type="gramEnd"/>
      <w:r w:rsidRPr="00EE42C1">
        <w:rPr>
          <w:sz w:val="29"/>
          <w:szCs w:val="29"/>
        </w:rPr>
        <w:t xml:space="preserve"> Федерацией о сотрудничестве в области социального обеспечения от  24 января 2006 года</w:t>
      </w:r>
      <w:r w:rsidR="00760CBB" w:rsidRPr="00EE42C1">
        <w:rPr>
          <w:sz w:val="29"/>
          <w:szCs w:val="29"/>
        </w:rPr>
        <w:t xml:space="preserve"> (статья 12 Соглашения)</w:t>
      </w:r>
      <w:r w:rsidRPr="00EE42C1">
        <w:rPr>
          <w:sz w:val="29"/>
          <w:szCs w:val="29"/>
        </w:rPr>
        <w:t>.</w:t>
      </w:r>
    </w:p>
    <w:p w:rsidR="00394F26" w:rsidRPr="00EE42C1" w:rsidRDefault="00394F26" w:rsidP="00394F26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Если стажа на территории </w:t>
      </w:r>
      <w:r w:rsidR="00760CBB" w:rsidRPr="00EE42C1">
        <w:rPr>
          <w:sz w:val="29"/>
          <w:szCs w:val="29"/>
        </w:rPr>
        <w:t xml:space="preserve">Республики Беларусь </w:t>
      </w:r>
      <w:r w:rsidRPr="00EE42C1">
        <w:rPr>
          <w:sz w:val="29"/>
          <w:szCs w:val="29"/>
        </w:rPr>
        <w:t xml:space="preserve">будет недостаточно для определения права на пенсию, то </w:t>
      </w:r>
      <w:r w:rsidRPr="00EE42C1">
        <w:rPr>
          <w:b/>
          <w:sz w:val="29"/>
          <w:szCs w:val="29"/>
        </w:rPr>
        <w:t>может быть учтен</w:t>
      </w:r>
      <w:r w:rsidRPr="00EE42C1">
        <w:rPr>
          <w:sz w:val="29"/>
          <w:szCs w:val="29"/>
        </w:rPr>
        <w:t xml:space="preserve"> также стаж, приобретенный на территори</w:t>
      </w:r>
      <w:r w:rsidR="00760CBB" w:rsidRPr="00EE42C1">
        <w:rPr>
          <w:sz w:val="29"/>
          <w:szCs w:val="29"/>
        </w:rPr>
        <w:t>ях</w:t>
      </w:r>
      <w:r w:rsidRPr="00EE42C1">
        <w:rPr>
          <w:sz w:val="29"/>
          <w:szCs w:val="29"/>
        </w:rPr>
        <w:t xml:space="preserve"> других  государств-</w:t>
      </w:r>
      <w:r w:rsidR="00E3074C" w:rsidRPr="00EE42C1">
        <w:rPr>
          <w:sz w:val="29"/>
          <w:szCs w:val="29"/>
        </w:rPr>
        <w:t>членов ЕАЭС</w:t>
      </w:r>
      <w:r w:rsidR="00760CBB" w:rsidRPr="00EE42C1">
        <w:rPr>
          <w:sz w:val="29"/>
          <w:szCs w:val="29"/>
        </w:rPr>
        <w:t xml:space="preserve"> в соответствии с законодательством каждого из государств-членов, за исключением случаев, когда такой стаж работы совпадает по времени</w:t>
      </w:r>
      <w:r w:rsidRPr="00EE42C1">
        <w:rPr>
          <w:sz w:val="29"/>
          <w:szCs w:val="29"/>
        </w:rPr>
        <w:t xml:space="preserve">. </w:t>
      </w:r>
      <w:r w:rsidRPr="00EE42C1">
        <w:rPr>
          <w:sz w:val="29"/>
          <w:szCs w:val="29"/>
        </w:rPr>
        <w:lastRenderedPageBreak/>
        <w:t>Подтверждение такого стажа производится компетентными органами этих государств</w:t>
      </w:r>
      <w:r w:rsidR="00760CBB" w:rsidRPr="00EE42C1">
        <w:rPr>
          <w:sz w:val="29"/>
          <w:szCs w:val="29"/>
        </w:rPr>
        <w:t xml:space="preserve"> (пункт 2 статьи 7 Соглашения)</w:t>
      </w:r>
      <w:r w:rsidRPr="00EE42C1">
        <w:rPr>
          <w:sz w:val="29"/>
          <w:szCs w:val="29"/>
        </w:rPr>
        <w:t>.</w:t>
      </w:r>
    </w:p>
    <w:p w:rsidR="00F0762C" w:rsidRPr="00EE42C1" w:rsidRDefault="004B1725" w:rsidP="004B1725">
      <w:pPr>
        <w:ind w:firstLine="709"/>
        <w:jc w:val="both"/>
        <w:rPr>
          <w:sz w:val="29"/>
          <w:szCs w:val="29"/>
        </w:rPr>
      </w:pPr>
      <w:r w:rsidRPr="00EE42C1">
        <w:rPr>
          <w:b/>
          <w:sz w:val="29"/>
          <w:szCs w:val="29"/>
        </w:rPr>
        <w:t>Специальный стаж</w:t>
      </w:r>
      <w:r w:rsidRPr="00EE42C1">
        <w:rPr>
          <w:sz w:val="29"/>
          <w:szCs w:val="29"/>
        </w:rPr>
        <w:t>, приобретенный по законодательству</w:t>
      </w:r>
      <w:r w:rsidR="00E3074C" w:rsidRPr="00EE42C1">
        <w:rPr>
          <w:sz w:val="29"/>
          <w:szCs w:val="29"/>
        </w:rPr>
        <w:t xml:space="preserve"> государств-членов ЕАЭС </w:t>
      </w:r>
      <w:r w:rsidR="00E3074C" w:rsidRPr="00EE42C1">
        <w:rPr>
          <w:b/>
          <w:sz w:val="29"/>
          <w:szCs w:val="29"/>
        </w:rPr>
        <w:t>после 1 января 2021 г.</w:t>
      </w:r>
      <w:r w:rsidRPr="00EE42C1">
        <w:rPr>
          <w:sz w:val="29"/>
          <w:szCs w:val="29"/>
        </w:rPr>
        <w:t xml:space="preserve">, </w:t>
      </w:r>
      <w:r w:rsidRPr="00EE42C1">
        <w:rPr>
          <w:b/>
          <w:sz w:val="29"/>
          <w:szCs w:val="29"/>
        </w:rPr>
        <w:t>не суммируется</w:t>
      </w:r>
      <w:r w:rsidR="00F0762C" w:rsidRPr="00EE42C1">
        <w:rPr>
          <w:sz w:val="29"/>
          <w:szCs w:val="29"/>
        </w:rPr>
        <w:t xml:space="preserve"> (пункт </w:t>
      </w:r>
      <w:r w:rsidR="00E3074C" w:rsidRPr="00EE42C1">
        <w:rPr>
          <w:sz w:val="29"/>
          <w:szCs w:val="29"/>
        </w:rPr>
        <w:t>4</w:t>
      </w:r>
      <w:r w:rsidR="00F0762C" w:rsidRPr="00EE42C1">
        <w:rPr>
          <w:sz w:val="29"/>
          <w:szCs w:val="29"/>
        </w:rPr>
        <w:t xml:space="preserve"> статьи 7</w:t>
      </w:r>
      <w:r w:rsidR="00E3074C" w:rsidRPr="00EE42C1">
        <w:rPr>
          <w:sz w:val="29"/>
          <w:szCs w:val="29"/>
        </w:rPr>
        <w:t xml:space="preserve"> Соглашения</w:t>
      </w:r>
      <w:r w:rsidR="00F0762C" w:rsidRPr="00EE42C1">
        <w:rPr>
          <w:sz w:val="29"/>
          <w:szCs w:val="29"/>
        </w:rPr>
        <w:t xml:space="preserve">). </w:t>
      </w:r>
    </w:p>
    <w:p w:rsidR="00E3074C" w:rsidRPr="00EE42C1" w:rsidRDefault="00E3074C" w:rsidP="004B1725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Соглашением </w:t>
      </w:r>
      <w:r w:rsidR="004B1725" w:rsidRPr="00EE42C1">
        <w:rPr>
          <w:sz w:val="29"/>
          <w:szCs w:val="29"/>
        </w:rPr>
        <w:t>не предусматривается норма об обеспечении гарантии в виде минимального размера пенсии.</w:t>
      </w:r>
    </w:p>
    <w:p w:rsidR="00A971D1" w:rsidRPr="00EE42C1" w:rsidRDefault="00E3074C" w:rsidP="004B1725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В соответствии с пунктом 4 Соглашения </w:t>
      </w:r>
      <w:r w:rsidRPr="00EE42C1">
        <w:rPr>
          <w:b/>
          <w:sz w:val="29"/>
          <w:szCs w:val="29"/>
        </w:rPr>
        <w:t>эксп</w:t>
      </w:r>
      <w:r w:rsidR="00A971D1" w:rsidRPr="00EE42C1">
        <w:rPr>
          <w:b/>
          <w:sz w:val="29"/>
          <w:szCs w:val="29"/>
        </w:rPr>
        <w:t>о</w:t>
      </w:r>
      <w:r w:rsidRPr="00EE42C1">
        <w:rPr>
          <w:b/>
          <w:sz w:val="29"/>
          <w:szCs w:val="29"/>
        </w:rPr>
        <w:t>рту</w:t>
      </w:r>
      <w:r w:rsidR="00A971D1" w:rsidRPr="00EE42C1">
        <w:rPr>
          <w:b/>
          <w:sz w:val="29"/>
          <w:szCs w:val="29"/>
        </w:rPr>
        <w:t xml:space="preserve"> (выплате в другие государства-члены ЕАЭС)</w:t>
      </w:r>
      <w:r w:rsidRPr="00EE42C1">
        <w:rPr>
          <w:b/>
          <w:sz w:val="29"/>
          <w:szCs w:val="29"/>
        </w:rPr>
        <w:t xml:space="preserve">  не подл</w:t>
      </w:r>
      <w:r w:rsidR="00A971D1" w:rsidRPr="00EE42C1">
        <w:rPr>
          <w:b/>
          <w:sz w:val="29"/>
          <w:szCs w:val="29"/>
        </w:rPr>
        <w:t>еж</w:t>
      </w:r>
      <w:r w:rsidRPr="00EE42C1">
        <w:rPr>
          <w:b/>
          <w:sz w:val="29"/>
          <w:szCs w:val="29"/>
        </w:rPr>
        <w:t>а</w:t>
      </w:r>
      <w:r w:rsidR="00A971D1" w:rsidRPr="00EE42C1">
        <w:rPr>
          <w:b/>
          <w:sz w:val="29"/>
          <w:szCs w:val="29"/>
        </w:rPr>
        <w:t>т</w:t>
      </w:r>
      <w:r w:rsidR="00A971D1" w:rsidRPr="00EE42C1">
        <w:rPr>
          <w:sz w:val="29"/>
          <w:szCs w:val="29"/>
        </w:rPr>
        <w:t xml:space="preserve"> следующие выплаты:</w:t>
      </w:r>
    </w:p>
    <w:p w:rsidR="00A971D1" w:rsidRPr="00EE42C1" w:rsidRDefault="00A971D1" w:rsidP="00A971D1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1) в Республике Беларусь – часть пенсии, исчисленная исходя </w:t>
      </w:r>
      <w:r w:rsidRPr="00EE42C1">
        <w:rPr>
          <w:sz w:val="29"/>
          <w:szCs w:val="29"/>
        </w:rPr>
        <w:br/>
        <w:t>из учтенных в соответствии с законодательством периодов иной</w:t>
      </w:r>
      <w:r w:rsidRPr="00EE42C1">
        <w:rPr>
          <w:sz w:val="29"/>
          <w:szCs w:val="29"/>
        </w:rPr>
        <w:br/>
        <w:t xml:space="preserve">деятельности и (или) иных периодов без уплаты пенсионных взносов, </w:t>
      </w:r>
      <w:r w:rsidRPr="00EE42C1">
        <w:rPr>
          <w:sz w:val="29"/>
          <w:szCs w:val="29"/>
        </w:rPr>
        <w:br/>
        <w:t xml:space="preserve">а также надбавки, выплаты (доплаты) и повышения, устанавливаемые </w:t>
      </w:r>
      <w:r w:rsidRPr="00EE42C1">
        <w:rPr>
          <w:sz w:val="29"/>
          <w:szCs w:val="29"/>
        </w:rPr>
        <w:br/>
        <w:t>к пенсии;</w:t>
      </w:r>
    </w:p>
    <w:p w:rsidR="00A971D1" w:rsidRPr="00EE42C1" w:rsidRDefault="00A971D1" w:rsidP="00A971D1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2) в Республике Армения – основная пенсия как часть трудовой пенсии и надбавки к пенсиям;</w:t>
      </w:r>
    </w:p>
    <w:p w:rsidR="00A971D1" w:rsidRPr="00EE42C1" w:rsidRDefault="00A971D1" w:rsidP="00A971D1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3) в Кыргызской Республике – базовая часть пенсии и выплаты </w:t>
      </w:r>
      <w:r w:rsidRPr="00EE42C1">
        <w:rPr>
          <w:sz w:val="29"/>
          <w:szCs w:val="29"/>
        </w:rPr>
        <w:br/>
        <w:t>за счет средств бюджета Кыргызской Республики;</w:t>
      </w:r>
    </w:p>
    <w:p w:rsidR="00A971D1" w:rsidRPr="00EE42C1" w:rsidRDefault="00A971D1" w:rsidP="00A971D1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4) в Российской Федерации – фиксированная выплата к страховой пенсии, повышение и (или) увеличение фиксированной выплаты </w:t>
      </w:r>
      <w:r w:rsidRPr="00EE42C1">
        <w:rPr>
          <w:sz w:val="29"/>
          <w:szCs w:val="29"/>
        </w:rPr>
        <w:br/>
        <w:t>к страховой пенсии и доплата к страховой пенсии, валоризация пенсионных прав в денежном выражении.</w:t>
      </w:r>
    </w:p>
    <w:p w:rsidR="00220872" w:rsidRPr="00EE42C1" w:rsidRDefault="00220872" w:rsidP="00220872">
      <w:pPr>
        <w:ind w:firstLine="709"/>
        <w:jc w:val="both"/>
        <w:rPr>
          <w:sz w:val="29"/>
          <w:szCs w:val="29"/>
        </w:rPr>
      </w:pPr>
      <w:r w:rsidRPr="00EE42C1">
        <w:rPr>
          <w:b/>
          <w:sz w:val="29"/>
          <w:szCs w:val="29"/>
        </w:rPr>
        <w:t>Обращение за назначением пенсии</w:t>
      </w:r>
      <w:r w:rsidRPr="00EE42C1">
        <w:rPr>
          <w:sz w:val="29"/>
          <w:szCs w:val="29"/>
        </w:rPr>
        <w:t xml:space="preserve"> по Соглашению может осуществляться </w:t>
      </w:r>
      <w:r w:rsidRPr="00EE42C1">
        <w:rPr>
          <w:b/>
          <w:sz w:val="29"/>
          <w:szCs w:val="29"/>
        </w:rPr>
        <w:t>по выбору гражданина</w:t>
      </w:r>
      <w:r w:rsidRPr="00EE42C1">
        <w:rPr>
          <w:sz w:val="29"/>
          <w:szCs w:val="29"/>
        </w:rPr>
        <w:t>:</w:t>
      </w:r>
    </w:p>
    <w:p w:rsidR="00220872" w:rsidRPr="00EE42C1" w:rsidRDefault="00220872" w:rsidP="00220872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в компетентный орган государства проживания </w:t>
      </w:r>
      <w:r w:rsidRPr="00EE42C1">
        <w:rPr>
          <w:i/>
          <w:sz w:val="29"/>
          <w:szCs w:val="29"/>
        </w:rPr>
        <w:t>и (или)</w:t>
      </w:r>
    </w:p>
    <w:p w:rsidR="00220872" w:rsidRPr="00EE42C1" w:rsidRDefault="00220872" w:rsidP="00220872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>в компетентный орган государства, на территории которого приобретен стаж.</w:t>
      </w:r>
    </w:p>
    <w:p w:rsidR="00220872" w:rsidRPr="00EE42C1" w:rsidRDefault="00220872" w:rsidP="00A971D1">
      <w:pPr>
        <w:ind w:firstLine="709"/>
        <w:jc w:val="both"/>
        <w:rPr>
          <w:b/>
          <w:sz w:val="29"/>
          <w:szCs w:val="29"/>
        </w:rPr>
      </w:pPr>
    </w:p>
    <w:p w:rsidR="00220872" w:rsidRPr="00EE42C1" w:rsidRDefault="00A971D1" w:rsidP="00A971D1">
      <w:pPr>
        <w:ind w:firstLine="709"/>
        <w:jc w:val="both"/>
        <w:rPr>
          <w:sz w:val="29"/>
          <w:szCs w:val="29"/>
        </w:rPr>
      </w:pPr>
      <w:r w:rsidRPr="00EE42C1">
        <w:rPr>
          <w:b/>
          <w:sz w:val="29"/>
          <w:szCs w:val="29"/>
        </w:rPr>
        <w:t>Выплата пенсии</w:t>
      </w:r>
      <w:r w:rsidRPr="00EE42C1">
        <w:rPr>
          <w:sz w:val="29"/>
          <w:szCs w:val="29"/>
        </w:rPr>
        <w:t xml:space="preserve">, назначенной по Соглашению,  может осуществляться  по </w:t>
      </w:r>
      <w:r w:rsidRPr="00EE42C1">
        <w:rPr>
          <w:b/>
          <w:sz w:val="29"/>
          <w:szCs w:val="29"/>
        </w:rPr>
        <w:t>выбору гражданина</w:t>
      </w:r>
      <w:r w:rsidR="00220872" w:rsidRPr="00EE42C1">
        <w:rPr>
          <w:sz w:val="29"/>
          <w:szCs w:val="29"/>
        </w:rPr>
        <w:t>:</w:t>
      </w:r>
    </w:p>
    <w:p w:rsidR="00220872" w:rsidRPr="00EE42C1" w:rsidRDefault="00A971D1" w:rsidP="00A971D1">
      <w:pPr>
        <w:ind w:firstLine="709"/>
        <w:jc w:val="both"/>
        <w:rPr>
          <w:i/>
          <w:sz w:val="29"/>
          <w:szCs w:val="29"/>
        </w:rPr>
      </w:pPr>
      <w:r w:rsidRPr="00EE42C1">
        <w:rPr>
          <w:sz w:val="29"/>
          <w:szCs w:val="29"/>
        </w:rPr>
        <w:t>на территории государства проживания</w:t>
      </w:r>
      <w:r w:rsidR="004E0922" w:rsidRPr="00EE42C1">
        <w:rPr>
          <w:sz w:val="29"/>
          <w:szCs w:val="29"/>
        </w:rPr>
        <w:t xml:space="preserve"> </w:t>
      </w:r>
      <w:r w:rsidR="004E0922" w:rsidRPr="00EE42C1">
        <w:rPr>
          <w:i/>
          <w:sz w:val="29"/>
          <w:szCs w:val="29"/>
        </w:rPr>
        <w:t>или</w:t>
      </w:r>
    </w:p>
    <w:p w:rsidR="00220872" w:rsidRPr="00EE42C1" w:rsidRDefault="00220872" w:rsidP="00A971D1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на территории </w:t>
      </w:r>
      <w:r w:rsidR="00A971D1" w:rsidRPr="00EE42C1">
        <w:rPr>
          <w:sz w:val="29"/>
          <w:szCs w:val="29"/>
        </w:rPr>
        <w:t>государства, назначившего пенсию.</w:t>
      </w:r>
    </w:p>
    <w:p w:rsidR="00220872" w:rsidRPr="00EE42C1" w:rsidRDefault="00A971D1" w:rsidP="00A971D1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Перевод пенсии </w:t>
      </w:r>
      <w:r w:rsidRPr="00EE42C1">
        <w:rPr>
          <w:b/>
          <w:sz w:val="29"/>
          <w:szCs w:val="29"/>
        </w:rPr>
        <w:t>за предшествующий квартал</w:t>
      </w:r>
      <w:r w:rsidRPr="00EE42C1">
        <w:rPr>
          <w:sz w:val="29"/>
          <w:szCs w:val="29"/>
        </w:rPr>
        <w:t xml:space="preserve"> компетентным органом </w:t>
      </w:r>
      <w:r w:rsidR="00220872" w:rsidRPr="00EE42C1">
        <w:rPr>
          <w:sz w:val="29"/>
          <w:szCs w:val="29"/>
        </w:rPr>
        <w:t>государства-члена ЕАЭС</w:t>
      </w:r>
      <w:r w:rsidRPr="00EE42C1">
        <w:rPr>
          <w:sz w:val="29"/>
          <w:szCs w:val="29"/>
        </w:rPr>
        <w:t xml:space="preserve">, назначившим пенсию, на территорию  государства проживания пенсионера  будет осуществляться </w:t>
      </w:r>
      <w:r w:rsidRPr="00EE42C1">
        <w:rPr>
          <w:b/>
          <w:sz w:val="29"/>
          <w:szCs w:val="29"/>
        </w:rPr>
        <w:t>до 15 числа первого месяца каждого квартала в денежной валюте государства проживания</w:t>
      </w:r>
      <w:r w:rsidRPr="00EE42C1">
        <w:rPr>
          <w:sz w:val="29"/>
          <w:szCs w:val="29"/>
        </w:rPr>
        <w:t xml:space="preserve">. Доставка пенсии пенсионеру будет осуществляться после указанной даты компетентным органом государства, на территорию которого осуществлен перевод пенсии. </w:t>
      </w:r>
    </w:p>
    <w:p w:rsidR="00A971D1" w:rsidRPr="00EE42C1" w:rsidRDefault="00A971D1" w:rsidP="00A971D1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t xml:space="preserve">В Республике Беларусь пенсия  будет  доставляться </w:t>
      </w:r>
      <w:r w:rsidRPr="00EE42C1">
        <w:rPr>
          <w:b/>
          <w:sz w:val="29"/>
          <w:szCs w:val="29"/>
        </w:rPr>
        <w:t>путем перечисления на счет пенсионера,</w:t>
      </w:r>
      <w:r w:rsidRPr="00EE42C1">
        <w:rPr>
          <w:sz w:val="29"/>
          <w:szCs w:val="29"/>
        </w:rPr>
        <w:t xml:space="preserve"> открытый в банке.</w:t>
      </w:r>
    </w:p>
    <w:p w:rsidR="00A971D1" w:rsidRPr="00EE42C1" w:rsidRDefault="00A971D1" w:rsidP="00A971D1">
      <w:pPr>
        <w:ind w:firstLine="709"/>
        <w:jc w:val="both"/>
        <w:rPr>
          <w:sz w:val="29"/>
          <w:szCs w:val="29"/>
        </w:rPr>
      </w:pPr>
    </w:p>
    <w:p w:rsidR="00A971D1" w:rsidRPr="00EE42C1" w:rsidRDefault="00A971D1" w:rsidP="00220872">
      <w:pPr>
        <w:ind w:firstLine="709"/>
        <w:jc w:val="both"/>
        <w:rPr>
          <w:sz w:val="29"/>
          <w:szCs w:val="29"/>
        </w:rPr>
      </w:pPr>
      <w:r w:rsidRPr="00EE42C1">
        <w:rPr>
          <w:sz w:val="29"/>
          <w:szCs w:val="29"/>
        </w:rPr>
        <w:lastRenderedPageBreak/>
        <w:t xml:space="preserve">  23 декабря 2020 г</w:t>
      </w:r>
      <w:r w:rsidR="00EE42C1" w:rsidRPr="00EE42C1">
        <w:rPr>
          <w:sz w:val="29"/>
          <w:szCs w:val="29"/>
        </w:rPr>
        <w:t>.</w:t>
      </w:r>
      <w:r w:rsidRPr="00EE42C1">
        <w:rPr>
          <w:sz w:val="29"/>
          <w:szCs w:val="29"/>
        </w:rPr>
        <w:t xml:space="preserve"> решением Совета Евразийской экономической комиссии утвержден Порядок взаимодействия между уполномоченными органами, компетентными органами государств - членов  Евразийского экономического союза и Евразийской экономической комиссией по применению норм Соглашения</w:t>
      </w:r>
      <w:r w:rsidR="004E0922" w:rsidRPr="00EE42C1">
        <w:rPr>
          <w:sz w:val="29"/>
          <w:szCs w:val="29"/>
        </w:rPr>
        <w:t xml:space="preserve"> (далее – Порядок).</w:t>
      </w:r>
      <w:r w:rsidRPr="00EE42C1">
        <w:rPr>
          <w:sz w:val="29"/>
          <w:szCs w:val="29"/>
        </w:rPr>
        <w:t xml:space="preserve"> Порядок подробно регламентирует вопросы взаимодействия между уполномоченными и компетентными органами государств-членов  по назначению и выплате пенсий в рамках Соглашения, устанавливает формы документов (формуляров), которыми будут обмениваться указанные органы.   </w:t>
      </w:r>
    </w:p>
    <w:p w:rsidR="00A971D1" w:rsidRPr="00EE42C1" w:rsidRDefault="00A971D1" w:rsidP="004B1725">
      <w:pPr>
        <w:ind w:firstLine="709"/>
        <w:jc w:val="both"/>
        <w:rPr>
          <w:sz w:val="29"/>
          <w:szCs w:val="29"/>
        </w:rPr>
      </w:pPr>
      <w:bookmarkStart w:id="0" w:name="_GoBack"/>
      <w:bookmarkEnd w:id="0"/>
    </w:p>
    <w:sectPr w:rsidR="00A971D1" w:rsidRPr="00EE42C1" w:rsidSect="004E092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7C" w:rsidRDefault="008F797C" w:rsidP="004B1725">
      <w:r>
        <w:separator/>
      </w:r>
    </w:p>
  </w:endnote>
  <w:endnote w:type="continuationSeparator" w:id="0">
    <w:p w:rsidR="008F797C" w:rsidRDefault="008F797C" w:rsidP="004B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7D" w:rsidRDefault="00771D7D">
    <w:pPr>
      <w:pStyle w:val="a6"/>
      <w:jc w:val="right"/>
    </w:pPr>
  </w:p>
  <w:p w:rsidR="00771D7D" w:rsidRDefault="00771D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7C" w:rsidRDefault="008F797C" w:rsidP="004B1725">
      <w:r>
        <w:separator/>
      </w:r>
    </w:p>
  </w:footnote>
  <w:footnote w:type="continuationSeparator" w:id="0">
    <w:p w:rsidR="008F797C" w:rsidRDefault="008F797C" w:rsidP="004B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73125"/>
      <w:docPartObj>
        <w:docPartGallery w:val="Page Numbers (Top of Page)"/>
        <w:docPartUnique/>
      </w:docPartObj>
    </w:sdtPr>
    <w:sdtEndPr/>
    <w:sdtContent>
      <w:p w:rsidR="004E0922" w:rsidRDefault="004E09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2D2">
          <w:rPr>
            <w:noProof/>
          </w:rPr>
          <w:t>4</w:t>
        </w:r>
        <w:r>
          <w:fldChar w:fldCharType="end"/>
        </w:r>
      </w:p>
    </w:sdtContent>
  </w:sdt>
  <w:p w:rsidR="004E0922" w:rsidRDefault="004E092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5"/>
    <w:rsid w:val="00022DE5"/>
    <w:rsid w:val="0003267E"/>
    <w:rsid w:val="00072640"/>
    <w:rsid w:val="000904AE"/>
    <w:rsid w:val="000A7E40"/>
    <w:rsid w:val="000C66BD"/>
    <w:rsid w:val="000C7FD8"/>
    <w:rsid w:val="00105A14"/>
    <w:rsid w:val="001226A8"/>
    <w:rsid w:val="0014466C"/>
    <w:rsid w:val="001452DF"/>
    <w:rsid w:val="00146D08"/>
    <w:rsid w:val="001642C2"/>
    <w:rsid w:val="0018636C"/>
    <w:rsid w:val="001B4B61"/>
    <w:rsid w:val="001F2747"/>
    <w:rsid w:val="001F4690"/>
    <w:rsid w:val="00201BDF"/>
    <w:rsid w:val="00206F3F"/>
    <w:rsid w:val="00220872"/>
    <w:rsid w:val="0022677F"/>
    <w:rsid w:val="00247D5D"/>
    <w:rsid w:val="00254B8D"/>
    <w:rsid w:val="002D109C"/>
    <w:rsid w:val="002E0497"/>
    <w:rsid w:val="00346745"/>
    <w:rsid w:val="00346E27"/>
    <w:rsid w:val="003701A0"/>
    <w:rsid w:val="00373638"/>
    <w:rsid w:val="00373B4B"/>
    <w:rsid w:val="00394F26"/>
    <w:rsid w:val="00395E84"/>
    <w:rsid w:val="003C02B6"/>
    <w:rsid w:val="00434DB4"/>
    <w:rsid w:val="00444ADC"/>
    <w:rsid w:val="004B1725"/>
    <w:rsid w:val="004B6781"/>
    <w:rsid w:val="004C61C4"/>
    <w:rsid w:val="004E0922"/>
    <w:rsid w:val="004E6E66"/>
    <w:rsid w:val="0051477D"/>
    <w:rsid w:val="0052311D"/>
    <w:rsid w:val="005322FA"/>
    <w:rsid w:val="0054149F"/>
    <w:rsid w:val="005A2F38"/>
    <w:rsid w:val="005B3790"/>
    <w:rsid w:val="005C5187"/>
    <w:rsid w:val="005C70D3"/>
    <w:rsid w:val="005E754E"/>
    <w:rsid w:val="006251E9"/>
    <w:rsid w:val="006308AF"/>
    <w:rsid w:val="00650931"/>
    <w:rsid w:val="00660D1D"/>
    <w:rsid w:val="00665F0E"/>
    <w:rsid w:val="0067368C"/>
    <w:rsid w:val="006E3454"/>
    <w:rsid w:val="00704213"/>
    <w:rsid w:val="00721313"/>
    <w:rsid w:val="00734ADA"/>
    <w:rsid w:val="007412B9"/>
    <w:rsid w:val="00741AC1"/>
    <w:rsid w:val="007548D0"/>
    <w:rsid w:val="00760CBB"/>
    <w:rsid w:val="00771D7D"/>
    <w:rsid w:val="007757F4"/>
    <w:rsid w:val="007B3FCE"/>
    <w:rsid w:val="007E75DD"/>
    <w:rsid w:val="00822C8D"/>
    <w:rsid w:val="008303F7"/>
    <w:rsid w:val="0083160D"/>
    <w:rsid w:val="00860DFB"/>
    <w:rsid w:val="0086711E"/>
    <w:rsid w:val="00887352"/>
    <w:rsid w:val="008B4366"/>
    <w:rsid w:val="008E1779"/>
    <w:rsid w:val="008F797C"/>
    <w:rsid w:val="00907E9E"/>
    <w:rsid w:val="0091132A"/>
    <w:rsid w:val="00921824"/>
    <w:rsid w:val="0095457D"/>
    <w:rsid w:val="00967A6C"/>
    <w:rsid w:val="0097297D"/>
    <w:rsid w:val="009D579B"/>
    <w:rsid w:val="009F2685"/>
    <w:rsid w:val="00A04341"/>
    <w:rsid w:val="00A15194"/>
    <w:rsid w:val="00A17122"/>
    <w:rsid w:val="00A95521"/>
    <w:rsid w:val="00A971D1"/>
    <w:rsid w:val="00AA596E"/>
    <w:rsid w:val="00AB5568"/>
    <w:rsid w:val="00B53384"/>
    <w:rsid w:val="00B61D47"/>
    <w:rsid w:val="00BE4003"/>
    <w:rsid w:val="00C24D19"/>
    <w:rsid w:val="00C33CFB"/>
    <w:rsid w:val="00C346FF"/>
    <w:rsid w:val="00C62373"/>
    <w:rsid w:val="00C63580"/>
    <w:rsid w:val="00C6368D"/>
    <w:rsid w:val="00C708FA"/>
    <w:rsid w:val="00CB4437"/>
    <w:rsid w:val="00CC5627"/>
    <w:rsid w:val="00CF2D9F"/>
    <w:rsid w:val="00D07D44"/>
    <w:rsid w:val="00D142D2"/>
    <w:rsid w:val="00D33BDC"/>
    <w:rsid w:val="00D52B3E"/>
    <w:rsid w:val="00D603B3"/>
    <w:rsid w:val="00D71C79"/>
    <w:rsid w:val="00D72054"/>
    <w:rsid w:val="00D7480F"/>
    <w:rsid w:val="00D77171"/>
    <w:rsid w:val="00DA1DD5"/>
    <w:rsid w:val="00DA7B96"/>
    <w:rsid w:val="00DB5ABA"/>
    <w:rsid w:val="00DE303E"/>
    <w:rsid w:val="00E111D2"/>
    <w:rsid w:val="00E1488E"/>
    <w:rsid w:val="00E3074C"/>
    <w:rsid w:val="00E3553C"/>
    <w:rsid w:val="00E40EA7"/>
    <w:rsid w:val="00E714F9"/>
    <w:rsid w:val="00E93891"/>
    <w:rsid w:val="00EB2117"/>
    <w:rsid w:val="00EB3048"/>
    <w:rsid w:val="00EB3771"/>
    <w:rsid w:val="00EE42C1"/>
    <w:rsid w:val="00F0762C"/>
    <w:rsid w:val="00F23366"/>
    <w:rsid w:val="00F267FC"/>
    <w:rsid w:val="00F459F1"/>
    <w:rsid w:val="00F50EE8"/>
    <w:rsid w:val="00F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B17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B1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1725"/>
    <w:rPr>
      <w:vertAlign w:val="superscript"/>
    </w:rPr>
  </w:style>
  <w:style w:type="paragraph" w:styleId="a6">
    <w:name w:val="footer"/>
    <w:basedOn w:val="a"/>
    <w:link w:val="a7"/>
    <w:uiPriority w:val="99"/>
    <w:rsid w:val="004B1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B1725"/>
    <w:pPr>
      <w:spacing w:line="280" w:lineRule="exact"/>
      <w:jc w:val="center"/>
    </w:pPr>
    <w:rPr>
      <w:i/>
      <w:iCs/>
      <w:sz w:val="30"/>
    </w:rPr>
  </w:style>
  <w:style w:type="character" w:customStyle="1" w:styleId="a9">
    <w:name w:val="Основной текст Знак"/>
    <w:basedOn w:val="a0"/>
    <w:link w:val="a8"/>
    <w:rsid w:val="004B1725"/>
    <w:rPr>
      <w:rFonts w:ascii="Times New Roman" w:eastAsia="Times New Roman" w:hAnsi="Times New Roman" w:cs="Times New Roman"/>
      <w:i/>
      <w:iCs/>
      <w:sz w:val="30"/>
      <w:szCs w:val="24"/>
      <w:lang w:eastAsia="ru-RU"/>
    </w:rPr>
  </w:style>
  <w:style w:type="paragraph" w:styleId="2">
    <w:name w:val="Body Text 2"/>
    <w:basedOn w:val="a"/>
    <w:link w:val="20"/>
    <w:rsid w:val="004B17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B17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B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B1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22D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2DE5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B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71D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B17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B1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1725"/>
    <w:rPr>
      <w:vertAlign w:val="superscript"/>
    </w:rPr>
  </w:style>
  <w:style w:type="paragraph" w:styleId="a6">
    <w:name w:val="footer"/>
    <w:basedOn w:val="a"/>
    <w:link w:val="a7"/>
    <w:uiPriority w:val="99"/>
    <w:rsid w:val="004B1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B1725"/>
    <w:pPr>
      <w:spacing w:line="280" w:lineRule="exact"/>
      <w:jc w:val="center"/>
    </w:pPr>
    <w:rPr>
      <w:i/>
      <w:iCs/>
      <w:sz w:val="30"/>
    </w:rPr>
  </w:style>
  <w:style w:type="character" w:customStyle="1" w:styleId="a9">
    <w:name w:val="Основной текст Знак"/>
    <w:basedOn w:val="a0"/>
    <w:link w:val="a8"/>
    <w:rsid w:val="004B1725"/>
    <w:rPr>
      <w:rFonts w:ascii="Times New Roman" w:eastAsia="Times New Roman" w:hAnsi="Times New Roman" w:cs="Times New Roman"/>
      <w:i/>
      <w:iCs/>
      <w:sz w:val="30"/>
      <w:szCs w:val="24"/>
      <w:lang w:eastAsia="ru-RU"/>
    </w:rPr>
  </w:style>
  <w:style w:type="paragraph" w:styleId="2">
    <w:name w:val="Body Text 2"/>
    <w:basedOn w:val="a"/>
    <w:link w:val="20"/>
    <w:rsid w:val="004B17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B17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B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B1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22D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2DE5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B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71D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5285-BC15-4A4A-AE2A-237A902F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Лариса Михайловна</dc:creator>
  <cp:lastModifiedBy>Азанова</cp:lastModifiedBy>
  <cp:revision>11</cp:revision>
  <cp:lastPrinted>2021-01-16T14:06:00Z</cp:lastPrinted>
  <dcterms:created xsi:type="dcterms:W3CDTF">2021-01-15T10:52:00Z</dcterms:created>
  <dcterms:modified xsi:type="dcterms:W3CDTF">2022-08-04T12:51:00Z</dcterms:modified>
</cp:coreProperties>
</file>