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BF" w:rsidRPr="007F01E0" w:rsidRDefault="007F01E0">
      <w:pPr>
        <w:pStyle w:val="1"/>
        <w:ind w:firstLine="0"/>
        <w:rPr>
          <w:b/>
        </w:rPr>
      </w:pPr>
      <w:r w:rsidRPr="007F01E0">
        <w:rPr>
          <w:b/>
        </w:rPr>
        <w:t>Об отнесении иностранных граждан</w:t>
      </w:r>
    </w:p>
    <w:p w:rsidR="00D848BF" w:rsidRPr="007F01E0" w:rsidRDefault="007F01E0">
      <w:pPr>
        <w:pStyle w:val="1"/>
        <w:spacing w:line="206" w:lineRule="auto"/>
        <w:ind w:firstLine="0"/>
        <w:rPr>
          <w:b/>
        </w:rPr>
      </w:pPr>
      <w:r w:rsidRPr="007F01E0">
        <w:rPr>
          <w:b/>
        </w:rPr>
        <w:t>к плательщикам налога</w:t>
      </w:r>
    </w:p>
    <w:p w:rsidR="00D848BF" w:rsidRPr="007F01E0" w:rsidRDefault="007F01E0">
      <w:pPr>
        <w:pStyle w:val="1"/>
        <w:spacing w:after="460" w:line="206" w:lineRule="auto"/>
        <w:ind w:firstLine="0"/>
        <w:rPr>
          <w:b/>
        </w:rPr>
      </w:pPr>
      <w:r w:rsidRPr="007F01E0">
        <w:rPr>
          <w:b/>
        </w:rPr>
        <w:t>на профессиональный доход</w:t>
      </w:r>
    </w:p>
    <w:p w:rsidR="00D848BF" w:rsidRDefault="007F01E0">
      <w:pPr>
        <w:pStyle w:val="1"/>
        <w:ind w:firstLine="720"/>
        <w:jc w:val="both"/>
      </w:pPr>
      <w:r>
        <w:t>В соответствии со статьей 378 Налогового кодекса Республики Беларусь (далее - Кодекс)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Беларусь, и начавшие применение налога на профессиональный доход в порядке, установленном статьей 381 Кодекса.</w:t>
      </w:r>
    </w:p>
    <w:p w:rsidR="00D848BF" w:rsidRDefault="007F01E0">
      <w:pPr>
        <w:pStyle w:val="1"/>
        <w:ind w:firstLine="720"/>
        <w:jc w:val="both"/>
      </w:pPr>
      <w:r>
        <w:t>Под физическими лицами понимаются, в частности, граждане либо подданные иностранного государства (далее - иностранные граждане, пункт 5 статьи 14 Кодекса).</w:t>
      </w:r>
    </w:p>
    <w:p w:rsidR="00D848BF" w:rsidRDefault="007F01E0">
      <w:pPr>
        <w:pStyle w:val="1"/>
        <w:ind w:firstLine="720"/>
        <w:jc w:val="both"/>
      </w:pPr>
      <w:r>
        <w:t>Таким образом, иностранные граждане также признаются плательщиками налога на профессиональный доход и вправе применять данный налоговый режим.</w:t>
      </w:r>
    </w:p>
    <w:p w:rsidR="007F01E0" w:rsidRDefault="007F01E0" w:rsidP="007F01E0">
      <w:pPr>
        <w:pStyle w:val="1"/>
        <w:ind w:firstLine="720"/>
        <w:jc w:val="right"/>
      </w:pPr>
    </w:p>
    <w:p w:rsidR="007F01E0" w:rsidRDefault="007F01E0" w:rsidP="007F01E0">
      <w:pPr>
        <w:pStyle w:val="1"/>
        <w:ind w:firstLine="720"/>
        <w:jc w:val="right"/>
        <w:rPr>
          <w:i/>
        </w:rPr>
      </w:pPr>
      <w:r>
        <w:t xml:space="preserve"> </w:t>
      </w:r>
      <w:r w:rsidRPr="007F01E0">
        <w:rPr>
          <w:i/>
        </w:rPr>
        <w:t>Инспекция Министерства по налогам</w:t>
      </w:r>
    </w:p>
    <w:p w:rsidR="007F01E0" w:rsidRDefault="007F01E0" w:rsidP="007F01E0">
      <w:pPr>
        <w:pStyle w:val="1"/>
        <w:ind w:firstLine="720"/>
        <w:jc w:val="center"/>
        <w:rPr>
          <w:i/>
        </w:rPr>
      </w:pPr>
      <w:r>
        <w:rPr>
          <w:i/>
        </w:rPr>
        <w:t xml:space="preserve">                                                         </w:t>
      </w:r>
      <w:r w:rsidRPr="007F01E0">
        <w:rPr>
          <w:i/>
        </w:rPr>
        <w:t>и сборам по Костюковичкому району</w:t>
      </w:r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Default="00017D33" w:rsidP="007F01E0">
      <w:pPr>
        <w:pStyle w:val="1"/>
        <w:ind w:firstLine="720"/>
        <w:jc w:val="center"/>
        <w:rPr>
          <w:i/>
        </w:rPr>
      </w:pPr>
      <w:bookmarkStart w:id="0" w:name="_GoBack"/>
      <w:bookmarkEnd w:id="0"/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Default="00017D33" w:rsidP="007F01E0">
      <w:pPr>
        <w:pStyle w:val="1"/>
        <w:ind w:firstLine="720"/>
        <w:jc w:val="center"/>
        <w:rPr>
          <w:i/>
        </w:rPr>
      </w:pPr>
    </w:p>
    <w:p w:rsidR="00017D33" w:rsidRPr="007F01E0" w:rsidRDefault="00017D33" w:rsidP="007F01E0">
      <w:pPr>
        <w:pStyle w:val="1"/>
        <w:ind w:firstLine="720"/>
        <w:jc w:val="center"/>
        <w:rPr>
          <w:i/>
        </w:rPr>
      </w:pPr>
    </w:p>
    <w:sectPr w:rsidR="00017D33" w:rsidRPr="007F01E0">
      <w:footerReference w:type="default" r:id="rId6"/>
      <w:type w:val="continuous"/>
      <w:pgSz w:w="11900" w:h="16840"/>
      <w:pgMar w:top="658" w:right="820" w:bottom="1455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46" w:rsidRDefault="007F01E0">
      <w:r>
        <w:separator/>
      </w:r>
    </w:p>
  </w:endnote>
  <w:endnote w:type="continuationSeparator" w:id="0">
    <w:p w:rsidR="00D15346" w:rsidRDefault="007F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8BF" w:rsidRDefault="00D848B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BF" w:rsidRDefault="00D848BF"/>
  </w:footnote>
  <w:footnote w:type="continuationSeparator" w:id="0">
    <w:p w:rsidR="00D848BF" w:rsidRDefault="00D848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F"/>
    <w:rsid w:val="00017D33"/>
    <w:rsid w:val="007F01E0"/>
    <w:rsid w:val="00D15346"/>
    <w:rsid w:val="00D8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1799F-95E4-45E9-B167-6CDA802F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23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F01E0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1E0"/>
    <w:rPr>
      <w:color w:val="000000"/>
    </w:rPr>
  </w:style>
  <w:style w:type="paragraph" w:styleId="a6">
    <w:name w:val="footer"/>
    <w:basedOn w:val="a"/>
    <w:link w:val="a7"/>
    <w:uiPriority w:val="99"/>
    <w:unhideWhenUsed/>
    <w:rsid w:val="007F01E0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1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F01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1E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Республики Беларусь от 29.12.2009 N 71-З(ред. от 30.12.2022)"Налоговый кодекс Республики Беларусь (Особенная часть)"(с изм. и доп., вступившими в силу с 15.01.2023)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Республики Беларусь от 29.12.2009 N 71-З(ред. от 30.12.2022)"Налоговый кодекс Республики Беларусь (Особенная часть)"(с изм. и доп., вступившими в силу с 15.01.2023)</dc:title>
  <dc:subject/>
  <dc:creator>t.pytrik</dc:creator>
  <cp:keywords/>
  <cp:lastModifiedBy>Васильченко Рита Викторовна</cp:lastModifiedBy>
  <cp:revision>3</cp:revision>
  <cp:lastPrinted>2023-02-23T13:40:00Z</cp:lastPrinted>
  <dcterms:created xsi:type="dcterms:W3CDTF">2023-02-23T13:38:00Z</dcterms:created>
  <dcterms:modified xsi:type="dcterms:W3CDTF">2023-02-23T13:42:00Z</dcterms:modified>
</cp:coreProperties>
</file>