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собрания Республики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</w:t>
      </w:r>
      <w:proofErr w:type="gramEnd"/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0" w:name="_Hlk117435976"/>
      <w:proofErr w:type="spellEnd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0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соответствии со статьей 142 Конституции Республики </w:t>
      </w:r>
      <w:proofErr w:type="gramStart"/>
      <w:r w:rsidRPr="00C47300">
        <w:rPr>
          <w:rFonts w:ascii="Times New Roman" w:hAnsi="Times New Roman" w:cs="Times New Roman"/>
          <w:sz w:val="30"/>
          <w:szCs w:val="30"/>
        </w:rPr>
        <w:t>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47300">
        <w:rPr>
          <w:rFonts w:ascii="Times New Roman" w:hAnsi="Times New Roman" w:cs="Times New Roman"/>
          <w:sz w:val="30"/>
          <w:szCs w:val="30"/>
        </w:rPr>
        <w:t xml:space="preserve"> течение двух лет после вступления в силу изменений и дополнений 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народное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собрание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вправе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решать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свою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судьбу</w:t>
      </w:r>
      <w:proofErr w:type="spellEnd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18-19.05.2001 –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второе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народное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сильную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и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процветающую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народное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собрание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народное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собрание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proofErr w:type="spellStart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</w:t>
      </w:r>
      <w:proofErr w:type="spellEnd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выбор</w:t>
      </w:r>
      <w:proofErr w:type="spellEnd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– </w:t>
      </w:r>
      <w:proofErr w:type="spellStart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независимая</w:t>
      </w:r>
      <w:proofErr w:type="spellEnd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, </w:t>
      </w:r>
      <w:proofErr w:type="spellStart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сильная</w:t>
      </w:r>
      <w:proofErr w:type="spellEnd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и </w:t>
      </w:r>
      <w:proofErr w:type="spellStart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процветающая</w:t>
      </w:r>
      <w:proofErr w:type="spellEnd"/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народное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собрание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proofErr w:type="spellEnd"/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сильную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процветающую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народное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собрание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!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Развитие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! 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Независимость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="00D2369A"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тороны Верховного Совета Президент </w:t>
      </w:r>
      <w:proofErr w:type="spellStart"/>
      <w:r w:rsidR="0001699B" w:rsidRPr="00C47300">
        <w:rPr>
          <w:rFonts w:ascii="Times New Roman" w:hAnsi="Times New Roman" w:cs="Times New Roman"/>
          <w:sz w:val="30"/>
          <w:szCs w:val="30"/>
        </w:rPr>
        <w:t>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885403" w:rsidRPr="00C47300">
        <w:rPr>
          <w:rFonts w:ascii="Times New Roman" w:hAnsi="Times New Roman" w:cs="Times New Roman"/>
          <w:sz w:val="30"/>
          <w:szCs w:val="30"/>
        </w:rPr>
        <w:t xml:space="preserve">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>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proofErr w:type="gramStart"/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</w:t>
      </w:r>
      <w:proofErr w:type="gramEnd"/>
      <w:r w:rsidRPr="00C47300">
        <w:rPr>
          <w:rFonts w:ascii="Times New Roman" w:hAnsi="Times New Roman" w:cs="Times New Roman"/>
          <w:b/>
          <w:sz w:val="30"/>
          <w:szCs w:val="30"/>
        </w:rPr>
        <w:t xml:space="preserve">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proofErr w:type="spellStart"/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власти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Палаты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представителей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и члены Совета Республики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Национального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собрания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власти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Премьер-министр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Республики Беларусь,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его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заместители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и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другие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члены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Правительства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председатели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областных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Минского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городского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районных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городских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городов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подчинения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исполнительных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комитетов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proofErr w:type="spellEnd"/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5E126B">
        <w:rPr>
          <w:rFonts w:ascii="Times New Roman" w:hAnsi="Times New Roman" w:cs="Times New Roman"/>
          <w:sz w:val="30"/>
          <w:szCs w:val="30"/>
          <w:lang w:val="be-BY"/>
        </w:rPr>
        <w:t>власти</w:t>
      </w:r>
      <w:proofErr w:type="spellEnd"/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="005E126B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и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судьи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Конституционного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и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Верховного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47300">
        <w:rPr>
          <w:rFonts w:ascii="Times New Roman" w:hAnsi="Times New Roman" w:cs="Times New Roman"/>
          <w:sz w:val="30"/>
          <w:szCs w:val="30"/>
          <w:lang w:val="be-BY"/>
        </w:rPr>
        <w:t>судов</w:t>
      </w:r>
      <w:proofErr w:type="spellEnd"/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</w:rPr>
        <w:t>Мингорсовета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>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 xml:space="preserve">ва от каждой области и </w:t>
      </w:r>
      <w:proofErr w:type="spellStart"/>
      <w:r w:rsidR="00702632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="00702632">
        <w:rPr>
          <w:rFonts w:ascii="Times New Roman" w:hAnsi="Times New Roman" w:cs="Times New Roman"/>
          <w:sz w:val="30"/>
          <w:szCs w:val="30"/>
        </w:rPr>
        <w:t>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972CE" w:rsidRPr="00C47300">
        <w:rPr>
          <w:rFonts w:ascii="Times New Roman" w:hAnsi="Times New Roman" w:cs="Times New Roman"/>
          <w:sz w:val="30"/>
          <w:szCs w:val="30"/>
        </w:rPr>
        <w:t>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</w:t>
      </w:r>
      <w:proofErr w:type="gramEnd"/>
      <w:r w:rsidR="00914FD9">
        <w:rPr>
          <w:rFonts w:ascii="Times New Roman" w:hAnsi="Times New Roman" w:cs="Times New Roman"/>
          <w:sz w:val="30"/>
          <w:szCs w:val="30"/>
        </w:rPr>
        <w:t xml:space="preserve">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Глава государства в ходе совещания 8 ноября 2022 г.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</w:t>
      </w:r>
      <w:proofErr w:type="gramEnd"/>
      <w:r w:rsidRPr="0087036E">
        <w:rPr>
          <w:rFonts w:ascii="Times New Roman" w:hAnsi="Times New Roman" w:cs="Times New Roman"/>
          <w:b/>
          <w:sz w:val="30"/>
          <w:szCs w:val="30"/>
        </w:rPr>
        <w:t>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>т участвовать в работе ВНС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>ей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на отмену</w:t>
      </w:r>
      <w:proofErr w:type="gramEnd"/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proofErr w:type="gramStart"/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Этого</w:t>
      </w:r>
      <w:proofErr w:type="gramEnd"/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вместо, а в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обеспечивая еще </w:t>
      </w:r>
      <w:proofErr w:type="spell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</w:t>
      </w:r>
      <w:proofErr w:type="spell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 xml:space="preserve">Собрания и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нелегитимности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толковании Конституции Республики Беларусь, о соответствии Конституции Республики Беларусь законов, указов Президента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</w:t>
      </w:r>
      <w:proofErr w:type="gramStart"/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</w:t>
      </w:r>
      <w:proofErr w:type="gramEnd"/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</w:t>
      </w:r>
      <w:proofErr w:type="gramStart"/>
      <w:r w:rsidR="00453867" w:rsidRPr="00C47300">
        <w:rPr>
          <w:rFonts w:ascii="Times New Roman" w:hAnsi="Times New Roman" w:cs="Times New Roman"/>
          <w:sz w:val="30"/>
          <w:szCs w:val="30"/>
        </w:rPr>
        <w:t xml:space="preserve">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proofErr w:type="gramEnd"/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</w:t>
      </w:r>
      <w:r w:rsidR="00C27C1B">
        <w:rPr>
          <w:rFonts w:ascii="Times New Roman" w:hAnsi="Times New Roman" w:cs="Times New Roman"/>
          <w:bCs/>
          <w:sz w:val="30"/>
          <w:szCs w:val="30"/>
        </w:rPr>
        <w:lastRenderedPageBreak/>
        <w:t>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proofErr w:type="gramStart"/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>месте</w:t>
      </w:r>
      <w:proofErr w:type="gramEnd"/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3222" w14:textId="77777777" w:rsidR="002A0B09" w:rsidRDefault="002A0B09" w:rsidP="00B21BD0">
      <w:pPr>
        <w:spacing w:after="0" w:line="240" w:lineRule="auto"/>
      </w:pPr>
      <w:r>
        <w:separator/>
      </w:r>
    </w:p>
  </w:endnote>
  <w:endnote w:type="continuationSeparator" w:id="0">
    <w:p w14:paraId="7169D5FD" w14:textId="77777777" w:rsidR="002A0B09" w:rsidRDefault="002A0B09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5022" w14:textId="77777777" w:rsidR="002A0B09" w:rsidRDefault="002A0B09" w:rsidP="00B21BD0">
      <w:pPr>
        <w:spacing w:after="0" w:line="240" w:lineRule="auto"/>
      </w:pPr>
      <w:r>
        <w:separator/>
      </w:r>
    </w:p>
  </w:footnote>
  <w:footnote w:type="continuationSeparator" w:id="0">
    <w:p w14:paraId="204E4A04" w14:textId="77777777" w:rsidR="002A0B09" w:rsidRDefault="002A0B09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E727C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955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B09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0A6C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  <w15:docId w15:val="{02F4486C-23A3-4D34-B250-9857BDD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324A-4D2C-4AE6-9B54-052F33F2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</dc:description>
  <cp:lastModifiedBy>Cepro</cp:lastModifiedBy>
  <cp:revision>2</cp:revision>
  <cp:lastPrinted>2022-11-11T11:17:00Z</cp:lastPrinted>
  <dcterms:created xsi:type="dcterms:W3CDTF">2022-11-23T13:48:00Z</dcterms:created>
  <dcterms:modified xsi:type="dcterms:W3CDTF">2022-11-23T13:48:00Z</dcterms:modified>
</cp:coreProperties>
</file>