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49D" w:rsidRPr="00195663" w:rsidRDefault="0052549D" w:rsidP="0052549D">
      <w:pPr>
        <w:pStyle w:val="a3"/>
        <w:jc w:val="center"/>
        <w:rPr>
          <w:rFonts w:ascii="Times New Roman" w:hAnsi="Times New Roman" w:cs="Times New Roman"/>
          <w:b/>
          <w:bCs/>
          <w:sz w:val="30"/>
          <w:szCs w:val="30"/>
        </w:rPr>
      </w:pPr>
      <w:r w:rsidRPr="00195663">
        <w:rPr>
          <w:rFonts w:ascii="Times New Roman" w:hAnsi="Times New Roman" w:cs="Times New Roman"/>
          <w:b/>
          <w:bCs/>
          <w:sz w:val="30"/>
          <w:szCs w:val="30"/>
        </w:rPr>
        <w:t>О ПРОФИЛАКТИКЕ КОРРУПЦИОННЫХ ПРАВОНАРУШЕНИЙ И ПРЕСТУПЛЕНИЙ.</w:t>
      </w:r>
    </w:p>
    <w:p w:rsidR="0052549D" w:rsidRPr="00195663" w:rsidRDefault="0052549D" w:rsidP="0052549D">
      <w:pPr>
        <w:pStyle w:val="a3"/>
        <w:jc w:val="both"/>
        <w:rPr>
          <w:rFonts w:ascii="Times New Roman" w:hAnsi="Times New Roman" w:cs="Times New Roman"/>
          <w:sz w:val="30"/>
          <w:szCs w:val="30"/>
          <w:u w:val="single"/>
        </w:rPr>
      </w:pP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Законодательство о борьбе с коррупцией основывается на Конституции Республики Беларусь и включает в себя в первую очередь Закон Республики Беларусь от 15.07.2015 №305-З «О борьбе с коррупцией», а также иные акты законодательства Республики Беларусь и международные договоры нашего государства. Кроме того, действующим законодательством определено, что ответственность за правонарушения, создающие условия для коррупции и коррупционных правонарушений, устанавливается Кодексом об административных правонарушениях, Уголовным кодексом Республики Беларусь и иными законодательными актами.</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В соответствии с действующим законодательством борьбу с коррупцией осуществляют органы прокуратуры, внутренних дел, органы государственной безопасности и иные. При этом указанные государственные органы решают другие задачи самостоятельно во взаимодействии между собой и иными госорганами и организациями, а также при содействии граждан. Для наиболее эффективного противодействия коррупции в данных органах создаются специальные подразделения.</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Как показывает практика наиболее распространенными видами преступлений с элементами коррупции являются: хищение путем злоупотребления служебными полномочиями (ст.210 УК РБ), злоупотребление властью или служебными полномочиями (ст. 424 УК РБ), превышение власти или служебных полномочий (ст. 426 УК РБ), получение взятки (ст.430 УК РБ), дача взятки (ст.431 УК РБ).</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Борьба с коррупционными преступлениями ведется в Беларуси самым суровым образом. Определенные успехи в борьбе с коррупцией, безусловно, на лицо, но можно ли с уверенностью утверждать, что под ударами правоохранительных органов, власти, общественного мнения коррупция капитулировала, нет! Коррупция дает о себе знать новыми проявлениями и не только у нас в Беларуси. Почти каждый день пресса сообщает о фактах коррупции, но нас это конечно не утешает. Мы живем в стране порядочных людей и искренне хотим, чтобы наша страна избавилась от коррупционной сферы.</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 xml:space="preserve">Деятельность по предотвращению коррупционных проявлений не может ограничиваться одномоментными встрясками. Борьба с коррупцией — это важнейшее направление укрепления государственности. Руководители всех организаций должны не только предупреждать и выявлять факты коррупции, но также сообщать об этих </w:t>
      </w:r>
      <w:r w:rsidRPr="00195663">
        <w:rPr>
          <w:rFonts w:ascii="Times New Roman" w:hAnsi="Times New Roman" w:cs="Times New Roman"/>
          <w:sz w:val="30"/>
          <w:szCs w:val="30"/>
        </w:rPr>
        <w:lastRenderedPageBreak/>
        <w:t>фактах в органы прокуратуры, внутренних дел и привлекать виновных лиц к ответственности.</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По итогам 10 месяцев текущего года зарегистрировано 8 преступлений по линии борьбы с экономическими преступлениями Хотимского РОВД, из них 5 преступлений коррупционной направленности, все виновные лица привлечены к уголовной ответственности.</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Так в целях выявления фактов коррупционных проявлений осуществляется общественный контроль, данное понятие закреплено в статья 46 Закона Республики Беларусь № 305-З «О борьбе с коррупцией» от 15 июля 2015 г.</w:t>
      </w:r>
    </w:p>
    <w:p w:rsidR="0052549D" w:rsidRPr="00195663" w:rsidRDefault="0052549D" w:rsidP="0052549D">
      <w:pPr>
        <w:pStyle w:val="a3"/>
        <w:jc w:val="both"/>
        <w:rPr>
          <w:rFonts w:ascii="Times New Roman" w:hAnsi="Times New Roman" w:cs="Times New Roman"/>
          <w:sz w:val="30"/>
          <w:szCs w:val="30"/>
        </w:rPr>
      </w:pPr>
      <w:r w:rsidRPr="00195663">
        <w:rPr>
          <w:rFonts w:ascii="Times New Roman" w:hAnsi="Times New Roman" w:cs="Times New Roman"/>
          <w:sz w:val="30"/>
          <w:szCs w:val="30"/>
        </w:rPr>
        <w:t xml:space="preserve"> </w:t>
      </w:r>
      <w:r>
        <w:rPr>
          <w:rFonts w:ascii="Times New Roman" w:hAnsi="Times New Roman" w:cs="Times New Roman"/>
          <w:sz w:val="30"/>
          <w:szCs w:val="30"/>
        </w:rPr>
        <w:tab/>
      </w:r>
      <w:r w:rsidRPr="00195663">
        <w:rPr>
          <w:rFonts w:ascii="Times New Roman" w:hAnsi="Times New Roman" w:cs="Times New Roman"/>
          <w:sz w:val="30"/>
          <w:szCs w:val="30"/>
        </w:rPr>
        <w:t>Общественный контроль в сфере борьбы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 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 участие в разработке и всенародном (общественном) обсуждении проектов нормативных правовых актов в сфере борьбы с коррупцией; участие в деятельности созданных в государственных органах и организациях комиссий по противодействию коррупции; иные формы такого участия, предусмотренные законодательными актами. 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 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 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 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 участие в проведении социологических опросов по вопросам противодействия коррупции.</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 xml:space="preserve">Также согласно статье 39 данного закона предусмотрены гарантии физическим лицам, способствующим выявлению коррупции. Физическое лицо, сообщившее о факте правонарушения, создающего </w:t>
      </w:r>
      <w:r w:rsidRPr="00195663">
        <w:rPr>
          <w:rFonts w:ascii="Times New Roman" w:hAnsi="Times New Roman" w:cs="Times New Roman"/>
          <w:sz w:val="30"/>
          <w:szCs w:val="30"/>
        </w:rPr>
        <w:lastRenderedPageBreak/>
        <w:t>условия для коррупции, коррупционного правонарушения или иным образом способствующее выявлению коррупции, находится под защитой государства. 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Национальный правовой Интернет-портал Республики Беларусь, 23.07.2015, 2/2303 28 противоправных действий, гарантируется применение мер по обеспечению безопасности в порядке, установленном законодательными актами. 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О выплате вознаграждения и других выплат физическому лицу, способствующему выявлению коррупции</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На основании части третьей статьи 39 Закона Республики Беларусь от 15 июля 2015 г. № 305-З «О борьбе с коррупцией» Совет Министров Республики Беларусь ПОСТАНОВЛЯЕТ:</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 Установить, что:</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1.1. выплата вознаграждения и других выплат физическому лицу, способствующему выявлению коррупции (далее – выплата вознаграждения и других выплат), производится в случаях предоставления:</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информации, предметов и документов, способствовавших выявлению коррупционного преступления;</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сведений о местонахождении разыскиваемого лица, совершившего коррупционное преступление;</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вреда, причиненного коррупционным преступлением;</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1.2. выплата вознаграждения и других выплат не производится:</w:t>
      </w:r>
    </w:p>
    <w:p w:rsidR="0052549D" w:rsidRPr="00195663" w:rsidRDefault="0052549D" w:rsidP="0052549D">
      <w:pPr>
        <w:pStyle w:val="a3"/>
        <w:jc w:val="both"/>
        <w:rPr>
          <w:rFonts w:ascii="Times New Roman" w:hAnsi="Times New Roman" w:cs="Times New Roman"/>
          <w:sz w:val="30"/>
          <w:szCs w:val="30"/>
        </w:rPr>
      </w:pPr>
      <w:r w:rsidRPr="00195663">
        <w:rPr>
          <w:rFonts w:ascii="Times New Roman" w:hAnsi="Times New Roman" w:cs="Times New Roman"/>
          <w:sz w:val="30"/>
          <w:szCs w:val="30"/>
        </w:rPr>
        <w:t>военнослужащим и сотрудникам (работникам) государственных органов и иных организаций, осуществляющих борьбу с коррупцией или участвующих в борьбе с коррупцией в связи с исполнением своих служебных (должностных) обязанностей;</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физическим лицам, оказывавшим содействие в выявлении, пресечении, раскрытии или расследовании коррупционного преступления, в совершении которого они участвовали;</w:t>
      </w:r>
    </w:p>
    <w:p w:rsidR="0052549D" w:rsidRPr="00195663" w:rsidRDefault="0052549D" w:rsidP="0052549D">
      <w:pPr>
        <w:pStyle w:val="a3"/>
        <w:jc w:val="both"/>
        <w:rPr>
          <w:rFonts w:ascii="Times New Roman" w:hAnsi="Times New Roman" w:cs="Times New Roman"/>
          <w:sz w:val="30"/>
          <w:szCs w:val="30"/>
        </w:rPr>
      </w:pPr>
      <w:r w:rsidRPr="00195663">
        <w:rPr>
          <w:rFonts w:ascii="Times New Roman" w:hAnsi="Times New Roman" w:cs="Times New Roman"/>
          <w:sz w:val="30"/>
          <w:szCs w:val="30"/>
        </w:rPr>
        <w:lastRenderedPageBreak/>
        <w:t>в случае, если информация, указанная в подпункте 1.1 пункта 1 настоящего постановления, предоставлена участником уголовного процесса при выполнении обязанностей, предусмотренных уголовно-процессуальным законодательством, в ходе производства следственных действий;</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1.3. основанием для выплаты вознаграждения и других выплат является решение руководителя органа прокуратуры, принимаемое по ходатайству органа уголовного преследования, представляемому прокурору:</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при передаче уголовного дела для направления в суд;</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по материалам проверки, по которым отказано в возбуждении уголовного дела, или уголовному делу, производство по которому прекращено по основаниям, предусмотренным в пунктах 3, 4, 7 и 13 части 1 статьи 29 и статье 30 Уголовно-процессуального кодекса Республики Беларусь;</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1.4. руководитель органа прокуратуры при принятии решения о выплате вознаграждения и других выплат, определении их размера в соответствии с настоящим постановлением несет ответственность за обоснованность этого решения и рациональное расходование бюджетных средств.</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Органы уголовного преследования, представившие ходатайства о выплате вознаграждения и других выплат, несут ответственность за их обоснованность;</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1.5. выплата вознаграждения и других выплат осуществляется при содействии выявлению, пресечению, раскрытию или расследованию коррупционного преступления:</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относящегося к категориям тяжких или особо тяжких преступлений, – до 50 базовых величин;</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относящегося к категории менее тяжких преступлений, – до 30 базовых величин.</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Выплаты компенсирующего характера до 10 базовых величин производятся на основании документов, подтверждающих произведенные физическим лицом расходы;</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1.6. выплата вознаграждения и других выплат производится из расчета размера базовой величины, установленной на дату принятия решения о выплате вознаграждения и других выплат, в пределах средств республиканского бюджета, предусматриваемых на содержание органов прокуратуры, с письменного согласия физического лица в течение года с даты принятия решения о выплате.</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Решение о выплате вознаграждения и других выплат принимается не позднее шести месяцев с даты:</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вступления приговора суда в законную силу;</w:t>
      </w:r>
    </w:p>
    <w:p w:rsidR="0052549D" w:rsidRPr="00195663" w:rsidRDefault="0052549D" w:rsidP="0052549D">
      <w:pPr>
        <w:pStyle w:val="a3"/>
        <w:jc w:val="both"/>
        <w:rPr>
          <w:rFonts w:ascii="Times New Roman" w:hAnsi="Times New Roman" w:cs="Times New Roman"/>
          <w:sz w:val="30"/>
          <w:szCs w:val="30"/>
        </w:rPr>
      </w:pPr>
      <w:r w:rsidRPr="00195663">
        <w:rPr>
          <w:rFonts w:ascii="Times New Roman" w:hAnsi="Times New Roman" w:cs="Times New Roman"/>
          <w:sz w:val="30"/>
          <w:szCs w:val="30"/>
        </w:rPr>
        <w:lastRenderedPageBreak/>
        <w:t>принятия решения по материалам проверки об отказе в возбуждении уголовного дела или прекращении производства по уголовному делу по основаниям, предусмотренным в пунктах 3, 4, 7 и 13 части 1 статьи 29 и статье 30 Уголовно-процессуального кодекса Республики Беларусь;</w:t>
      </w:r>
    </w:p>
    <w:p w:rsidR="0052549D" w:rsidRPr="00195663" w:rsidRDefault="0052549D" w:rsidP="0052549D">
      <w:pPr>
        <w:pStyle w:val="a3"/>
        <w:ind w:firstLine="708"/>
        <w:jc w:val="both"/>
        <w:rPr>
          <w:rFonts w:ascii="Times New Roman" w:hAnsi="Times New Roman" w:cs="Times New Roman"/>
          <w:sz w:val="30"/>
          <w:szCs w:val="30"/>
        </w:rPr>
      </w:pPr>
      <w:r w:rsidRPr="00195663">
        <w:rPr>
          <w:rFonts w:ascii="Times New Roman" w:hAnsi="Times New Roman" w:cs="Times New Roman"/>
          <w:sz w:val="30"/>
          <w:szCs w:val="30"/>
        </w:rPr>
        <w:t>1.7. порядок и условия направления ходатайства органа уголовного преследования, выплаты вознаграждения и других выплат устанавливаются Генеральной прокуратурой. (Постановление Совета Министров Республики Беларусь от 12 сентября 2019 г. № 619 «О выплате вознаграждения и других выплат физическому лицу, способствующему выявлению коррупции» (Национальный правовой Интернет-портал Республики Беларусь, 17.09.2019, 5/47023))</w:t>
      </w:r>
    </w:p>
    <w:p w:rsidR="0052549D" w:rsidRDefault="0052549D" w:rsidP="0052549D">
      <w:pPr>
        <w:pStyle w:val="a3"/>
        <w:jc w:val="both"/>
        <w:rPr>
          <w:rFonts w:ascii="Times New Roman" w:hAnsi="Times New Roman" w:cs="Times New Roman"/>
          <w:sz w:val="30"/>
          <w:szCs w:val="30"/>
        </w:rPr>
      </w:pPr>
    </w:p>
    <w:p w:rsidR="0052549D" w:rsidRDefault="0052549D" w:rsidP="0052549D">
      <w:pPr>
        <w:pStyle w:val="a3"/>
        <w:jc w:val="right"/>
        <w:rPr>
          <w:rFonts w:ascii="Times New Roman" w:hAnsi="Times New Roman" w:cs="Times New Roman"/>
          <w:i/>
          <w:iCs/>
          <w:sz w:val="30"/>
          <w:szCs w:val="30"/>
        </w:rPr>
      </w:pPr>
      <w:r>
        <w:rPr>
          <w:rFonts w:ascii="Times New Roman" w:hAnsi="Times New Roman" w:cs="Times New Roman"/>
          <w:i/>
          <w:iCs/>
          <w:sz w:val="30"/>
          <w:szCs w:val="30"/>
        </w:rPr>
        <w:t xml:space="preserve">          </w:t>
      </w:r>
      <w:r w:rsidRPr="003A206E">
        <w:rPr>
          <w:rFonts w:ascii="Times New Roman" w:hAnsi="Times New Roman" w:cs="Times New Roman"/>
          <w:i/>
          <w:iCs/>
          <w:sz w:val="30"/>
          <w:szCs w:val="30"/>
        </w:rPr>
        <w:t>Материалы подготовлены отделом</w:t>
      </w:r>
    </w:p>
    <w:p w:rsidR="0052549D" w:rsidRPr="00195663" w:rsidRDefault="0052549D" w:rsidP="0052549D">
      <w:pPr>
        <w:pStyle w:val="a3"/>
        <w:jc w:val="right"/>
        <w:rPr>
          <w:rFonts w:ascii="Times New Roman" w:hAnsi="Times New Roman" w:cs="Times New Roman"/>
          <w:sz w:val="30"/>
          <w:szCs w:val="30"/>
        </w:rPr>
      </w:pPr>
      <w:r>
        <w:rPr>
          <w:rFonts w:ascii="Times New Roman" w:hAnsi="Times New Roman" w:cs="Times New Roman"/>
          <w:i/>
          <w:iCs/>
          <w:sz w:val="30"/>
          <w:szCs w:val="30"/>
        </w:rPr>
        <w:t xml:space="preserve">                                  </w:t>
      </w:r>
      <w:r w:rsidRPr="003A206E">
        <w:rPr>
          <w:rFonts w:ascii="Times New Roman" w:hAnsi="Times New Roman" w:cs="Times New Roman"/>
          <w:i/>
          <w:iCs/>
          <w:sz w:val="30"/>
          <w:szCs w:val="30"/>
        </w:rPr>
        <w:t xml:space="preserve"> внутренних дел</w:t>
      </w:r>
      <w:r>
        <w:rPr>
          <w:rFonts w:ascii="Times New Roman" w:hAnsi="Times New Roman" w:cs="Times New Roman"/>
          <w:i/>
          <w:iCs/>
          <w:sz w:val="30"/>
          <w:szCs w:val="30"/>
        </w:rPr>
        <w:t xml:space="preserve"> </w:t>
      </w:r>
      <w:r w:rsidRPr="003A206E">
        <w:rPr>
          <w:rFonts w:ascii="Times New Roman" w:hAnsi="Times New Roman" w:cs="Times New Roman"/>
          <w:i/>
          <w:iCs/>
          <w:sz w:val="30"/>
          <w:szCs w:val="30"/>
        </w:rPr>
        <w:t>Хотимского райисполкома</w:t>
      </w:r>
    </w:p>
    <w:p w:rsidR="0052549D" w:rsidRDefault="0052549D" w:rsidP="0052549D">
      <w:pPr>
        <w:pStyle w:val="2"/>
        <w:spacing w:line="280" w:lineRule="exact"/>
        <w:ind w:right="0"/>
        <w:jc w:val="right"/>
        <w:rPr>
          <w:sz w:val="30"/>
          <w:szCs w:val="30"/>
        </w:rPr>
      </w:pPr>
    </w:p>
    <w:p w:rsidR="00164AD9" w:rsidRPr="0052549D" w:rsidRDefault="00164AD9" w:rsidP="0052549D"/>
    <w:sectPr w:rsidR="00164AD9" w:rsidRPr="0052549D" w:rsidSect="00901ED8">
      <w:headerReference w:type="default" r:id="rId4"/>
      <w:pgSz w:w="11906" w:h="16838"/>
      <w:pgMar w:top="1134" w:right="850" w:bottom="993" w:left="1701" w:header="51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EB6" w:rsidRPr="004304FF" w:rsidRDefault="00000000" w:rsidP="004304FF">
    <w:pPr>
      <w:pStyle w:val="a5"/>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E7"/>
    <w:rsid w:val="000B7C50"/>
    <w:rsid w:val="00164AD9"/>
    <w:rsid w:val="004B5BE7"/>
    <w:rsid w:val="0052549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0F3D3-76B7-48DD-8A24-D8C1049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BE7"/>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BE7"/>
    <w:pPr>
      <w:jc w:val="left"/>
    </w:pPr>
    <w:rPr>
      <w:rFonts w:asciiTheme="minorHAnsi" w:eastAsiaTheme="minorEastAsia" w:hAnsiTheme="minorHAnsi" w:cstheme="minorBidi"/>
      <w:color w:val="auto"/>
      <w:sz w:val="22"/>
      <w:szCs w:val="22"/>
      <w:lang w:val="ru-RU" w:eastAsia="ru-RU"/>
    </w:rPr>
  </w:style>
  <w:style w:type="paragraph" w:styleId="2">
    <w:name w:val="Body Text Indent 2"/>
    <w:basedOn w:val="a"/>
    <w:link w:val="20"/>
    <w:rsid w:val="004B5BE7"/>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4B5BE7"/>
    <w:rPr>
      <w:rFonts w:eastAsia="Times New Roman"/>
      <w:color w:val="auto"/>
      <w:szCs w:val="20"/>
      <w:lang w:val="ru-RU" w:eastAsia="ru-RU"/>
    </w:rPr>
  </w:style>
  <w:style w:type="character" w:styleId="a4">
    <w:name w:val="Emphasis"/>
    <w:basedOn w:val="a0"/>
    <w:uiPriority w:val="20"/>
    <w:qFormat/>
    <w:rsid w:val="004B5BE7"/>
    <w:rPr>
      <w:i/>
      <w:iCs/>
    </w:rPr>
  </w:style>
  <w:style w:type="paragraph" w:styleId="a5">
    <w:name w:val="header"/>
    <w:basedOn w:val="a"/>
    <w:link w:val="a6"/>
    <w:uiPriority w:val="99"/>
    <w:unhideWhenUsed/>
    <w:rsid w:val="005254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549D"/>
    <w:rPr>
      <w:rFonts w:ascii="Calibri" w:eastAsia="Calibri" w:hAnsi="Calibri"/>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2022-11-15T12:51:00Z</dcterms:created>
  <dcterms:modified xsi:type="dcterms:W3CDTF">2022-11-15T12:51:00Z</dcterms:modified>
</cp:coreProperties>
</file>