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36" w:rsidRDefault="00054636" w:rsidP="00134FCF">
      <w:pPr>
        <w:spacing w:line="280" w:lineRule="exact"/>
        <w:ind w:firstLine="709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134FCF">
      <w:pPr>
        <w:spacing w:line="280" w:lineRule="exact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134FCF">
      <w:pPr>
        <w:spacing w:line="280" w:lineRule="exact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</w:t>
      </w:r>
      <w:r w:rsidR="00B95FF4">
        <w:rPr>
          <w:b/>
          <w:sz w:val="30"/>
          <w:szCs w:val="30"/>
        </w:rPr>
        <w:t>2</w:t>
      </w:r>
      <w:r w:rsidRPr="008173F1">
        <w:rPr>
          <w:b/>
          <w:sz w:val="30"/>
          <w:szCs w:val="30"/>
        </w:rPr>
        <w:t xml:space="preserve"> год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20</w:t>
      </w:r>
      <w:r w:rsidR="001C33FE">
        <w:rPr>
          <w:sz w:val="30"/>
          <w:szCs w:val="30"/>
        </w:rPr>
        <w:t>2</w:t>
      </w:r>
      <w:r w:rsidR="00B95FF4">
        <w:rPr>
          <w:sz w:val="30"/>
          <w:szCs w:val="30"/>
        </w:rPr>
        <w:t>2</w:t>
      </w:r>
      <w:r w:rsidR="00125C52">
        <w:rPr>
          <w:sz w:val="30"/>
          <w:szCs w:val="30"/>
        </w:rPr>
        <w:t xml:space="preserve"> год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proofErr w:type="spellStart"/>
      <w:r w:rsidR="00054636">
        <w:rPr>
          <w:sz w:val="30"/>
          <w:szCs w:val="30"/>
        </w:rPr>
        <w:t>Хотимского</w:t>
      </w:r>
      <w:proofErr w:type="spellEnd"/>
      <w:r w:rsidR="00054636">
        <w:rPr>
          <w:sz w:val="30"/>
          <w:szCs w:val="30"/>
        </w:rPr>
        <w:t xml:space="preserve">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B64BAC" w:rsidRPr="00B64BAC">
        <w:rPr>
          <w:b/>
          <w:sz w:val="30"/>
          <w:szCs w:val="30"/>
        </w:rPr>
        <w:t>27</w:t>
      </w:r>
      <w:r w:rsidR="00B64BAC">
        <w:rPr>
          <w:b/>
          <w:sz w:val="30"/>
          <w:szCs w:val="30"/>
        </w:rPr>
        <w:t> </w:t>
      </w:r>
      <w:r w:rsidR="00B64BAC" w:rsidRPr="00B64BAC">
        <w:rPr>
          <w:b/>
          <w:sz w:val="30"/>
          <w:szCs w:val="30"/>
        </w:rPr>
        <w:t>884</w:t>
      </w:r>
      <w:r w:rsidR="00B64BAC">
        <w:rPr>
          <w:b/>
          <w:sz w:val="30"/>
          <w:szCs w:val="30"/>
        </w:rPr>
        <w:t>,7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B64BAC">
        <w:rPr>
          <w:sz w:val="30"/>
          <w:szCs w:val="30"/>
          <w:lang w:eastAsia="en-US"/>
        </w:rPr>
        <w:t>6 798,5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CD6CF8">
        <w:rPr>
          <w:sz w:val="30"/>
          <w:szCs w:val="30"/>
          <w:lang w:eastAsia="en-US"/>
        </w:rPr>
        <w:t>2</w:t>
      </w:r>
      <w:r w:rsidR="003056B2">
        <w:rPr>
          <w:sz w:val="30"/>
          <w:szCs w:val="30"/>
          <w:lang w:eastAsia="en-US"/>
        </w:rPr>
        <w:t>4</w:t>
      </w:r>
      <w:r w:rsidR="00CD6CF8">
        <w:rPr>
          <w:sz w:val="30"/>
          <w:szCs w:val="30"/>
          <w:lang w:eastAsia="en-US"/>
        </w:rPr>
        <w:t>,</w:t>
      </w:r>
      <w:r w:rsidR="003056B2">
        <w:rPr>
          <w:sz w:val="30"/>
          <w:szCs w:val="30"/>
          <w:lang w:eastAsia="en-US"/>
        </w:rPr>
        <w:t>4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1826E3">
        <w:rPr>
          <w:sz w:val="30"/>
          <w:szCs w:val="30"/>
          <w:lang w:eastAsia="en-US"/>
        </w:rPr>
        <w:t>832,1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257B41">
        <w:rPr>
          <w:sz w:val="30"/>
          <w:szCs w:val="30"/>
          <w:lang w:eastAsia="en-US"/>
        </w:rPr>
        <w:t>3,</w:t>
      </w:r>
      <w:r w:rsidR="001826E3">
        <w:rPr>
          <w:sz w:val="30"/>
          <w:szCs w:val="30"/>
          <w:lang w:eastAsia="en-US"/>
        </w:rPr>
        <w:t>0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>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1826E3">
        <w:rPr>
          <w:sz w:val="30"/>
          <w:szCs w:val="30"/>
          <w:lang w:eastAsia="en-US"/>
        </w:rPr>
        <w:t>20 254,1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CD6CF8">
        <w:rPr>
          <w:sz w:val="30"/>
          <w:szCs w:val="30"/>
          <w:lang w:eastAsia="en-US"/>
        </w:rPr>
        <w:t>7</w:t>
      </w:r>
      <w:r w:rsidR="001826E3">
        <w:rPr>
          <w:sz w:val="30"/>
          <w:szCs w:val="30"/>
          <w:lang w:eastAsia="en-US"/>
        </w:rPr>
        <w:t>2,6</w:t>
      </w:r>
      <w:r w:rsidRPr="00FF7D37">
        <w:rPr>
          <w:sz w:val="30"/>
          <w:szCs w:val="30"/>
          <w:lang w:eastAsia="en-US"/>
        </w:rPr>
        <w:t xml:space="preserve"> процент</w:t>
      </w:r>
      <w:r w:rsidR="00257B41">
        <w:rPr>
          <w:sz w:val="30"/>
          <w:szCs w:val="30"/>
          <w:lang w:eastAsia="en-US"/>
        </w:rPr>
        <w:t>а</w:t>
      </w:r>
      <w:r w:rsidRPr="00FF7D37">
        <w:rPr>
          <w:sz w:val="30"/>
          <w:szCs w:val="30"/>
          <w:lang w:eastAsia="en-US"/>
        </w:rPr>
        <w:t xml:space="preserve">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185C91">
        <w:rPr>
          <w:sz w:val="30"/>
          <w:szCs w:val="30"/>
          <w:lang w:eastAsia="en-US"/>
        </w:rPr>
        <w:t>18 426,5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:rsidR="00257B41" w:rsidRPr="00257B41" w:rsidRDefault="00CC30D5" w:rsidP="00257B41">
      <w:pPr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>
        <w:rPr>
          <w:i/>
          <w:sz w:val="30"/>
          <w:szCs w:val="30"/>
          <w:lang w:eastAsia="en-US"/>
        </w:rPr>
        <w:t>Справочно</w:t>
      </w:r>
      <w:proofErr w:type="spellEnd"/>
      <w:r w:rsidR="00B3135F">
        <w:rPr>
          <w:i/>
          <w:sz w:val="30"/>
          <w:szCs w:val="30"/>
          <w:lang w:eastAsia="en-US"/>
        </w:rPr>
        <w:t>:</w:t>
      </w:r>
      <w:r w:rsidR="00257B41" w:rsidRPr="00257B41">
        <w:rPr>
          <w:i/>
          <w:sz w:val="30"/>
          <w:szCs w:val="30"/>
          <w:lang w:eastAsia="en-US"/>
        </w:rPr>
        <w:t xml:space="preserve"> По сравнению с периодом прошлого года</w:t>
      </w:r>
      <w:r w:rsidR="00666417">
        <w:rPr>
          <w:i/>
          <w:sz w:val="30"/>
          <w:szCs w:val="30"/>
          <w:lang w:eastAsia="en-US"/>
        </w:rPr>
        <w:t xml:space="preserve"> и</w:t>
      </w:r>
      <w:r w:rsidR="00F00969" w:rsidRPr="00F00969">
        <w:rPr>
          <w:i/>
          <w:sz w:val="30"/>
          <w:szCs w:val="30"/>
          <w:lang w:eastAsia="en-US"/>
        </w:rPr>
        <w:t xml:space="preserve"> </w:t>
      </w:r>
      <w:r w:rsidR="00F00969" w:rsidRPr="00257B41">
        <w:rPr>
          <w:i/>
          <w:sz w:val="30"/>
          <w:szCs w:val="30"/>
          <w:lang w:eastAsia="en-US"/>
        </w:rPr>
        <w:t>утвержденным бюджетом на 2022 год</w:t>
      </w:r>
      <w:r w:rsidR="00257B41" w:rsidRPr="00257B41">
        <w:rPr>
          <w:i/>
          <w:sz w:val="30"/>
          <w:szCs w:val="30"/>
          <w:lang w:eastAsia="en-US"/>
        </w:rPr>
        <w:t xml:space="preserve"> </w:t>
      </w:r>
      <w:proofErr w:type="spellStart"/>
      <w:r w:rsidR="00257B41" w:rsidRPr="00257B41">
        <w:rPr>
          <w:i/>
          <w:sz w:val="30"/>
          <w:szCs w:val="30"/>
          <w:lang w:eastAsia="en-US"/>
        </w:rPr>
        <w:t>дотационность</w:t>
      </w:r>
      <w:proofErr w:type="spellEnd"/>
      <w:r w:rsidR="00257B41" w:rsidRPr="00257B41">
        <w:rPr>
          <w:i/>
          <w:sz w:val="30"/>
          <w:szCs w:val="30"/>
          <w:lang w:eastAsia="en-US"/>
        </w:rPr>
        <w:t xml:space="preserve"> бюджета района увеличилась </w:t>
      </w:r>
      <w:r w:rsidR="00F00969">
        <w:rPr>
          <w:i/>
          <w:sz w:val="30"/>
          <w:szCs w:val="30"/>
          <w:lang w:eastAsia="en-US"/>
        </w:rPr>
        <w:t xml:space="preserve">соответственно </w:t>
      </w:r>
      <w:r w:rsidR="00257B41" w:rsidRPr="00257B41">
        <w:rPr>
          <w:i/>
          <w:sz w:val="30"/>
          <w:szCs w:val="30"/>
          <w:lang w:eastAsia="en-US"/>
        </w:rPr>
        <w:t xml:space="preserve">на </w:t>
      </w:r>
      <w:r w:rsidR="00B3135F">
        <w:rPr>
          <w:i/>
          <w:sz w:val="30"/>
          <w:szCs w:val="30"/>
          <w:lang w:eastAsia="en-US"/>
        </w:rPr>
        <w:t>4,</w:t>
      </w:r>
      <w:r w:rsidR="00A831AF">
        <w:rPr>
          <w:i/>
          <w:sz w:val="30"/>
          <w:szCs w:val="30"/>
          <w:lang w:eastAsia="en-US"/>
        </w:rPr>
        <w:t>4</w:t>
      </w:r>
      <w:r w:rsidR="00257B41" w:rsidRPr="00257B41">
        <w:rPr>
          <w:i/>
          <w:sz w:val="30"/>
          <w:szCs w:val="30"/>
          <w:lang w:eastAsia="en-US"/>
        </w:rPr>
        <w:t xml:space="preserve"> </w:t>
      </w:r>
      <w:proofErr w:type="spellStart"/>
      <w:r w:rsidR="00257B41" w:rsidRPr="00257B41">
        <w:rPr>
          <w:i/>
          <w:sz w:val="30"/>
          <w:szCs w:val="30"/>
          <w:lang w:eastAsia="en-US"/>
        </w:rPr>
        <w:t>п.п</w:t>
      </w:r>
      <w:proofErr w:type="spellEnd"/>
      <w:r w:rsidR="00257B41" w:rsidRPr="00257B41">
        <w:rPr>
          <w:i/>
          <w:sz w:val="30"/>
          <w:szCs w:val="30"/>
          <w:lang w:eastAsia="en-US"/>
        </w:rPr>
        <w:t>.</w:t>
      </w:r>
      <w:r w:rsidR="003766CD">
        <w:rPr>
          <w:i/>
          <w:sz w:val="30"/>
          <w:szCs w:val="30"/>
          <w:lang w:eastAsia="en-US"/>
        </w:rPr>
        <w:t xml:space="preserve"> </w:t>
      </w:r>
      <w:r w:rsidR="00F00969">
        <w:rPr>
          <w:i/>
          <w:sz w:val="30"/>
          <w:szCs w:val="30"/>
          <w:lang w:eastAsia="en-US"/>
        </w:rPr>
        <w:t>и</w:t>
      </w:r>
      <w:r w:rsidR="00491BB6">
        <w:rPr>
          <w:i/>
          <w:sz w:val="30"/>
          <w:szCs w:val="30"/>
          <w:lang w:eastAsia="en-US"/>
        </w:rPr>
        <w:t xml:space="preserve"> </w:t>
      </w:r>
      <w:r w:rsidR="00A831AF">
        <w:rPr>
          <w:i/>
          <w:sz w:val="30"/>
          <w:szCs w:val="30"/>
          <w:lang w:eastAsia="en-US"/>
        </w:rPr>
        <w:t>уменьшилась на</w:t>
      </w:r>
      <w:r w:rsidR="00F00969">
        <w:rPr>
          <w:i/>
          <w:sz w:val="30"/>
          <w:szCs w:val="30"/>
          <w:lang w:eastAsia="en-US"/>
        </w:rPr>
        <w:t xml:space="preserve"> </w:t>
      </w:r>
      <w:r w:rsidR="00A831AF">
        <w:rPr>
          <w:i/>
          <w:sz w:val="30"/>
          <w:szCs w:val="30"/>
          <w:lang w:eastAsia="en-US"/>
        </w:rPr>
        <w:t>1,9</w:t>
      </w:r>
      <w:r w:rsidR="00F00969">
        <w:rPr>
          <w:i/>
          <w:sz w:val="30"/>
          <w:szCs w:val="30"/>
          <w:lang w:eastAsia="en-US"/>
        </w:rPr>
        <w:t xml:space="preserve"> </w:t>
      </w:r>
      <w:proofErr w:type="spellStart"/>
      <w:r w:rsidR="00F00969">
        <w:rPr>
          <w:i/>
          <w:sz w:val="30"/>
          <w:szCs w:val="30"/>
          <w:lang w:eastAsia="en-US"/>
        </w:rPr>
        <w:t>п.п</w:t>
      </w:r>
      <w:proofErr w:type="spellEnd"/>
      <w:r w:rsidR="00F00969">
        <w:rPr>
          <w:i/>
          <w:sz w:val="30"/>
          <w:szCs w:val="30"/>
          <w:lang w:eastAsia="en-US"/>
        </w:rPr>
        <w:t>.</w:t>
      </w:r>
      <w:bookmarkStart w:id="0" w:name="_Hlk68698025"/>
      <w:bookmarkStart w:id="1" w:name="_Hlk68698002"/>
      <w:r w:rsidR="00257B41" w:rsidRPr="00257B41">
        <w:rPr>
          <w:i/>
          <w:sz w:val="30"/>
          <w:szCs w:val="30"/>
          <w:lang w:eastAsia="en-US"/>
        </w:rPr>
        <w:t xml:space="preserve"> </w:t>
      </w:r>
      <w:bookmarkEnd w:id="0"/>
      <w:bookmarkEnd w:id="1"/>
    </w:p>
    <w:p w:rsidR="00054636" w:rsidRDefault="00054636" w:rsidP="00585417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4A72B6A" wp14:editId="4C397905">
            <wp:extent cx="5905500" cy="3314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 20</w:t>
      </w:r>
      <w:r w:rsidR="00DF0861">
        <w:rPr>
          <w:b/>
          <w:sz w:val="26"/>
          <w:szCs w:val="26"/>
        </w:rPr>
        <w:t>2</w:t>
      </w:r>
      <w:r w:rsidR="0070449C">
        <w:rPr>
          <w:b/>
          <w:sz w:val="26"/>
          <w:szCs w:val="26"/>
        </w:rPr>
        <w:t>1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</w:t>
      </w:r>
      <w:r w:rsidR="0070449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</w:t>
      </w:r>
      <w:r w:rsidR="00DF086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DF0861" w:rsidRPr="00167285" w:rsidRDefault="00DF0861" w:rsidP="00DF0861">
      <w:pPr>
        <w:ind w:firstLine="720"/>
        <w:jc w:val="both"/>
        <w:rPr>
          <w:sz w:val="30"/>
          <w:szCs w:val="30"/>
          <w:lang w:eastAsia="en-US"/>
        </w:rPr>
      </w:pPr>
      <w:r w:rsidRPr="00167285">
        <w:rPr>
          <w:sz w:val="30"/>
          <w:szCs w:val="30"/>
          <w:lang w:eastAsia="en-US"/>
        </w:rPr>
        <w:t>подоходный налог –</w:t>
      </w:r>
      <w:r w:rsidR="00167285">
        <w:rPr>
          <w:sz w:val="30"/>
          <w:szCs w:val="30"/>
          <w:lang w:eastAsia="en-US"/>
        </w:rPr>
        <w:t xml:space="preserve"> </w:t>
      </w:r>
      <w:r w:rsidR="00E04840">
        <w:rPr>
          <w:sz w:val="30"/>
          <w:szCs w:val="30"/>
          <w:lang w:eastAsia="en-US"/>
        </w:rPr>
        <w:t>4</w:t>
      </w:r>
      <w:r w:rsidR="00D4018D">
        <w:rPr>
          <w:sz w:val="30"/>
          <w:szCs w:val="30"/>
          <w:lang w:eastAsia="en-US"/>
        </w:rPr>
        <w:t>7</w:t>
      </w:r>
      <w:r w:rsidR="00990F2B">
        <w:rPr>
          <w:sz w:val="30"/>
          <w:szCs w:val="30"/>
          <w:lang w:eastAsia="en-US"/>
        </w:rPr>
        <w:t>,0</w:t>
      </w:r>
      <w:r w:rsidR="001854E7">
        <w:rPr>
          <w:sz w:val="30"/>
          <w:szCs w:val="30"/>
          <w:lang w:eastAsia="en-US"/>
        </w:rPr>
        <w:t xml:space="preserve"> процент</w:t>
      </w:r>
      <w:r w:rsidR="00990F2B">
        <w:rPr>
          <w:sz w:val="30"/>
          <w:szCs w:val="30"/>
          <w:lang w:eastAsia="en-US"/>
        </w:rPr>
        <w:t>ов</w:t>
      </w:r>
      <w:r w:rsidRPr="00167285">
        <w:rPr>
          <w:sz w:val="30"/>
          <w:szCs w:val="30"/>
          <w:lang w:eastAsia="en-US"/>
        </w:rPr>
        <w:t xml:space="preserve"> (</w:t>
      </w:r>
      <w:r w:rsidR="0005655C">
        <w:rPr>
          <w:sz w:val="30"/>
          <w:szCs w:val="30"/>
          <w:lang w:eastAsia="en-US"/>
        </w:rPr>
        <w:t>3 588,7</w:t>
      </w:r>
      <w:r w:rsidR="0055551D">
        <w:rPr>
          <w:sz w:val="30"/>
          <w:szCs w:val="30"/>
          <w:lang w:eastAsia="en-US"/>
        </w:rPr>
        <w:t xml:space="preserve"> </w:t>
      </w:r>
      <w:r w:rsidRPr="00167285">
        <w:rPr>
          <w:sz w:val="30"/>
          <w:szCs w:val="30"/>
          <w:lang w:eastAsia="en-US"/>
        </w:rPr>
        <w:t>тыс. рублей)</w:t>
      </w:r>
      <w:r w:rsidR="00167285" w:rsidRPr="00167285">
        <w:rPr>
          <w:sz w:val="30"/>
          <w:szCs w:val="30"/>
          <w:lang w:eastAsia="en-US"/>
        </w:rPr>
        <w:t>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68368D">
        <w:rPr>
          <w:sz w:val="30"/>
          <w:szCs w:val="30"/>
        </w:rPr>
        <w:t>24,8</w:t>
      </w:r>
      <w:r w:rsidR="001854E7">
        <w:rPr>
          <w:sz w:val="30"/>
          <w:szCs w:val="30"/>
        </w:rPr>
        <w:t xml:space="preserve"> процент</w:t>
      </w:r>
      <w:r w:rsidR="00371A21">
        <w:rPr>
          <w:sz w:val="30"/>
          <w:szCs w:val="30"/>
        </w:rPr>
        <w:t>а</w:t>
      </w:r>
      <w:r w:rsidRPr="007B3FA1">
        <w:rPr>
          <w:sz w:val="30"/>
          <w:szCs w:val="30"/>
        </w:rPr>
        <w:t xml:space="preserve"> (</w:t>
      </w:r>
      <w:r w:rsidR="00D4018D">
        <w:rPr>
          <w:sz w:val="30"/>
          <w:szCs w:val="30"/>
        </w:rPr>
        <w:t>1 892,4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D4018D">
        <w:rPr>
          <w:sz w:val="30"/>
          <w:szCs w:val="30"/>
        </w:rPr>
        <w:t>7,1</w:t>
      </w:r>
      <w:r w:rsidR="001854E7">
        <w:rPr>
          <w:sz w:val="30"/>
          <w:szCs w:val="30"/>
        </w:rPr>
        <w:t xml:space="preserve"> процента</w:t>
      </w:r>
      <w:r w:rsidRPr="007B3FA1">
        <w:rPr>
          <w:sz w:val="30"/>
          <w:szCs w:val="30"/>
        </w:rPr>
        <w:t xml:space="preserve"> (</w:t>
      </w:r>
      <w:r w:rsidR="00D4018D">
        <w:rPr>
          <w:sz w:val="30"/>
          <w:szCs w:val="30"/>
        </w:rPr>
        <w:t>539,0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B254D7">
        <w:rPr>
          <w:sz w:val="30"/>
          <w:szCs w:val="30"/>
        </w:rPr>
        <w:t>10,9</w:t>
      </w:r>
      <w:r w:rsidR="00F455C7">
        <w:rPr>
          <w:sz w:val="30"/>
          <w:szCs w:val="30"/>
        </w:rPr>
        <w:t xml:space="preserve"> процента</w:t>
      </w:r>
      <w:r w:rsidRPr="007B3FA1">
        <w:rPr>
          <w:sz w:val="30"/>
          <w:szCs w:val="30"/>
        </w:rPr>
        <w:t xml:space="preserve"> (</w:t>
      </w:r>
      <w:r w:rsidR="00D4018D">
        <w:rPr>
          <w:sz w:val="30"/>
          <w:szCs w:val="30"/>
        </w:rPr>
        <w:t>832,1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365C04">
        <w:rPr>
          <w:sz w:val="30"/>
          <w:szCs w:val="30"/>
        </w:rPr>
        <w:t>6,8</w:t>
      </w:r>
      <w:r w:rsidR="00F455C7">
        <w:rPr>
          <w:sz w:val="30"/>
          <w:szCs w:val="30"/>
        </w:rPr>
        <w:t xml:space="preserve"> процента</w:t>
      </w:r>
      <w:r>
        <w:rPr>
          <w:sz w:val="30"/>
          <w:szCs w:val="30"/>
        </w:rPr>
        <w:t xml:space="preserve"> (</w:t>
      </w:r>
      <w:r w:rsidR="00B254D7">
        <w:rPr>
          <w:sz w:val="30"/>
          <w:szCs w:val="30"/>
        </w:rPr>
        <w:t>518,7</w:t>
      </w:r>
      <w:r>
        <w:rPr>
          <w:sz w:val="30"/>
          <w:szCs w:val="30"/>
        </w:rPr>
        <w:t xml:space="preserve"> тыс. рублей).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B254D7">
        <w:rPr>
          <w:b/>
          <w:sz w:val="30"/>
          <w:szCs w:val="30"/>
        </w:rPr>
        <w:t>27 823,8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</w:t>
      </w:r>
      <w:r w:rsidRPr="00132EEA">
        <w:rPr>
          <w:sz w:val="30"/>
          <w:szCs w:val="30"/>
        </w:rPr>
        <w:lastRenderedPageBreak/>
        <w:t xml:space="preserve">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B43BE8">
        <w:rPr>
          <w:sz w:val="30"/>
          <w:szCs w:val="30"/>
        </w:rPr>
        <w:t>6</w:t>
      </w:r>
      <w:r w:rsidR="00582B7E">
        <w:rPr>
          <w:sz w:val="30"/>
          <w:szCs w:val="30"/>
        </w:rPr>
        <w:t>7,7</w:t>
      </w:r>
      <w:r w:rsidR="00B21031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объема всех расходов (</w:t>
      </w:r>
      <w:r w:rsidR="00987284">
        <w:rPr>
          <w:sz w:val="30"/>
          <w:szCs w:val="30"/>
        </w:rPr>
        <w:t>18 837,</w:t>
      </w:r>
      <w:r w:rsidR="000E038A">
        <w:rPr>
          <w:sz w:val="30"/>
          <w:szCs w:val="30"/>
        </w:rPr>
        <w:t>4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4E0BA6">
        <w:rPr>
          <w:sz w:val="30"/>
          <w:szCs w:val="30"/>
        </w:rPr>
        <w:t>1</w:t>
      </w:r>
      <w:r w:rsidR="00582B7E">
        <w:rPr>
          <w:sz w:val="30"/>
          <w:szCs w:val="30"/>
        </w:rPr>
        <w:t>1,1</w:t>
      </w:r>
      <w:r w:rsidR="00B21031">
        <w:rPr>
          <w:sz w:val="30"/>
          <w:szCs w:val="30"/>
        </w:rPr>
        <w:t xml:space="preserve"> процент</w:t>
      </w:r>
      <w:r w:rsidR="00B43BE8">
        <w:rPr>
          <w:sz w:val="30"/>
          <w:szCs w:val="30"/>
        </w:rPr>
        <w:t>а</w:t>
      </w:r>
      <w:r w:rsidRPr="00132EEA">
        <w:rPr>
          <w:sz w:val="30"/>
          <w:szCs w:val="30"/>
        </w:rPr>
        <w:t xml:space="preserve"> (</w:t>
      </w:r>
      <w:r w:rsidR="00582B7E">
        <w:rPr>
          <w:sz w:val="30"/>
          <w:szCs w:val="30"/>
        </w:rPr>
        <w:t>3 100,00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bookmarkStart w:id="2" w:name="_GoBack"/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2"/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 20</w:t>
      </w:r>
      <w:r w:rsidR="000646C1">
        <w:rPr>
          <w:b/>
          <w:sz w:val="26"/>
          <w:szCs w:val="26"/>
        </w:rPr>
        <w:t>2</w:t>
      </w:r>
      <w:r w:rsidR="004E0BA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096A56">
        <w:rPr>
          <w:sz w:val="30"/>
          <w:szCs w:val="30"/>
        </w:rPr>
        <w:t>8</w:t>
      </w:r>
      <w:r w:rsidR="00D26C2F">
        <w:rPr>
          <w:sz w:val="30"/>
          <w:szCs w:val="30"/>
        </w:rPr>
        <w:t>3,</w:t>
      </w:r>
      <w:r w:rsidR="009461DC">
        <w:rPr>
          <w:sz w:val="30"/>
          <w:szCs w:val="30"/>
        </w:rPr>
        <w:t>7</w:t>
      </w:r>
      <w:r w:rsidR="00E440F8"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141C0F">
        <w:rPr>
          <w:bCs/>
          <w:sz w:val="30"/>
          <w:szCs w:val="30"/>
        </w:rPr>
        <w:t>23 276,7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D6011C">
        <w:rPr>
          <w:bCs/>
          <w:sz w:val="30"/>
          <w:szCs w:val="30"/>
        </w:rPr>
        <w:t>17 554,7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441C3D">
        <w:rPr>
          <w:bCs/>
          <w:sz w:val="30"/>
          <w:szCs w:val="30"/>
        </w:rPr>
        <w:t>6</w:t>
      </w:r>
      <w:r w:rsidR="009A1C01">
        <w:rPr>
          <w:bCs/>
          <w:sz w:val="30"/>
          <w:szCs w:val="30"/>
        </w:rPr>
        <w:t>3,</w:t>
      </w:r>
      <w:r w:rsidR="008216FC">
        <w:rPr>
          <w:bCs/>
          <w:sz w:val="30"/>
          <w:szCs w:val="30"/>
        </w:rPr>
        <w:t>1</w:t>
      </w:r>
      <w:r w:rsidR="00E440F8">
        <w:rPr>
          <w:bCs/>
          <w:sz w:val="30"/>
          <w:szCs w:val="30"/>
        </w:rPr>
        <w:t xml:space="preserve"> процента</w:t>
      </w:r>
      <w:r>
        <w:rPr>
          <w:sz w:val="30"/>
          <w:szCs w:val="30"/>
        </w:rPr>
        <w:t>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</w:t>
      </w:r>
      <w:r w:rsidR="00847489">
        <w:rPr>
          <w:sz w:val="30"/>
          <w:szCs w:val="30"/>
        </w:rPr>
        <w:t>2</w:t>
      </w:r>
      <w:r w:rsidR="00E6547F">
        <w:rPr>
          <w:sz w:val="30"/>
          <w:szCs w:val="30"/>
        </w:rPr>
        <w:t xml:space="preserve"> год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9461DC">
        <w:rPr>
          <w:b/>
          <w:sz w:val="30"/>
          <w:szCs w:val="30"/>
        </w:rPr>
        <w:t>501,6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</w:t>
      </w:r>
      <w:r w:rsidR="00622F10">
        <w:rPr>
          <w:sz w:val="30"/>
          <w:szCs w:val="30"/>
          <w:lang w:val="be-BY"/>
        </w:rPr>
        <w:t>8</w:t>
      </w:r>
      <w:r w:rsidRPr="00E7609F">
        <w:rPr>
          <w:sz w:val="30"/>
          <w:szCs w:val="30"/>
          <w:lang w:val="be-BY"/>
        </w:rPr>
        <w:t xml:space="preserve"> процент</w:t>
      </w:r>
      <w:r w:rsidR="00E440F8">
        <w:rPr>
          <w:sz w:val="30"/>
          <w:szCs w:val="30"/>
          <w:lang w:val="be-BY"/>
        </w:rPr>
        <w:t>а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F356DB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622F10">
        <w:rPr>
          <w:color w:val="000000"/>
          <w:sz w:val="30"/>
          <w:szCs w:val="30"/>
        </w:rPr>
        <w:t>про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622F10">
        <w:rPr>
          <w:b/>
          <w:color w:val="000000"/>
          <w:sz w:val="30"/>
          <w:szCs w:val="30"/>
        </w:rPr>
        <w:t>60,9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1A71E0" w:rsidRPr="00A62261" w:rsidRDefault="001A71E0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A62261">
        <w:rPr>
          <w:sz w:val="30"/>
          <w:szCs w:val="30"/>
        </w:rPr>
        <w:t xml:space="preserve">Учреждениями социальной сферы за счет проведения </w:t>
      </w:r>
      <w:r w:rsidRPr="00A62261">
        <w:rPr>
          <w:b/>
          <w:sz w:val="30"/>
          <w:szCs w:val="30"/>
        </w:rPr>
        <w:t>мероприятий по экономии</w:t>
      </w:r>
      <w:r w:rsidRPr="00A62261">
        <w:rPr>
          <w:sz w:val="30"/>
          <w:szCs w:val="30"/>
        </w:rPr>
        <w:t xml:space="preserve"> бюджетных средств сэкономлено </w:t>
      </w:r>
      <w:r w:rsidR="00A62261" w:rsidRPr="00A62261">
        <w:rPr>
          <w:b/>
          <w:sz w:val="30"/>
          <w:szCs w:val="30"/>
        </w:rPr>
        <w:t>2</w:t>
      </w:r>
      <w:r w:rsidR="00622F10">
        <w:rPr>
          <w:b/>
          <w:sz w:val="30"/>
          <w:szCs w:val="30"/>
        </w:rPr>
        <w:t>86,9</w:t>
      </w:r>
      <w:r w:rsidRPr="00A62261">
        <w:rPr>
          <w:b/>
          <w:sz w:val="30"/>
          <w:szCs w:val="30"/>
        </w:rPr>
        <w:t xml:space="preserve"> </w:t>
      </w:r>
      <w:r w:rsidR="004D359E" w:rsidRPr="00A62261">
        <w:rPr>
          <w:sz w:val="30"/>
          <w:szCs w:val="30"/>
        </w:rPr>
        <w:t xml:space="preserve">тыс. рублей, или </w:t>
      </w:r>
      <w:r w:rsidR="007207B0" w:rsidRPr="00A62261">
        <w:rPr>
          <w:sz w:val="30"/>
          <w:szCs w:val="30"/>
        </w:rPr>
        <w:t>1,</w:t>
      </w:r>
      <w:r w:rsidR="00F73E12">
        <w:rPr>
          <w:sz w:val="30"/>
          <w:szCs w:val="30"/>
        </w:rPr>
        <w:t>0</w:t>
      </w:r>
      <w:r w:rsidRPr="00A62261">
        <w:rPr>
          <w:sz w:val="30"/>
          <w:szCs w:val="30"/>
        </w:rPr>
        <w:t xml:space="preserve"> процент</w:t>
      </w:r>
      <w:r w:rsidR="00F73E12">
        <w:rPr>
          <w:sz w:val="30"/>
          <w:szCs w:val="30"/>
        </w:rPr>
        <w:t>ов</w:t>
      </w:r>
      <w:r w:rsidRPr="00A62261">
        <w:rPr>
          <w:sz w:val="30"/>
          <w:szCs w:val="30"/>
        </w:rPr>
        <w:t xml:space="preserve"> от бюджетного финансирования, из них за счет:</w:t>
      </w:r>
    </w:p>
    <w:p w:rsidR="000C5042" w:rsidRPr="00A62261" w:rsidRDefault="00874E97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A62261">
        <w:rPr>
          <w:sz w:val="30"/>
          <w:szCs w:val="30"/>
        </w:rPr>
        <w:t xml:space="preserve">мероприятий </w:t>
      </w:r>
      <w:r w:rsidRPr="00A62261">
        <w:rPr>
          <w:b/>
          <w:sz w:val="30"/>
          <w:szCs w:val="30"/>
        </w:rPr>
        <w:t xml:space="preserve">по энергосбережению </w:t>
      </w:r>
      <w:r w:rsidRPr="00A62261">
        <w:rPr>
          <w:sz w:val="30"/>
          <w:szCs w:val="30"/>
        </w:rPr>
        <w:t xml:space="preserve">– </w:t>
      </w:r>
      <w:r w:rsidR="00F73E12">
        <w:rPr>
          <w:sz w:val="30"/>
          <w:szCs w:val="30"/>
        </w:rPr>
        <w:t>39,9</w:t>
      </w:r>
      <w:r w:rsidRPr="00A62261">
        <w:rPr>
          <w:sz w:val="30"/>
          <w:szCs w:val="30"/>
        </w:rPr>
        <w:t xml:space="preserve"> тыс. рублей</w:t>
      </w:r>
      <w:r w:rsidR="00577465" w:rsidRPr="00A62261">
        <w:rPr>
          <w:sz w:val="30"/>
          <w:szCs w:val="30"/>
        </w:rPr>
        <w:t>;</w:t>
      </w:r>
    </w:p>
    <w:p w:rsidR="001A71E0" w:rsidRPr="00A62261" w:rsidRDefault="001A71E0" w:rsidP="001A71E0">
      <w:pPr>
        <w:suppressAutoHyphens/>
        <w:ind w:firstLine="709"/>
        <w:jc w:val="both"/>
        <w:rPr>
          <w:sz w:val="30"/>
        </w:rPr>
      </w:pPr>
      <w:r w:rsidRPr="00A62261">
        <w:rPr>
          <w:b/>
          <w:sz w:val="30"/>
          <w:szCs w:val="30"/>
        </w:rPr>
        <w:lastRenderedPageBreak/>
        <w:t xml:space="preserve">прямых закупок медикаментов и продуктов питания </w:t>
      </w:r>
      <w:r w:rsidRPr="00A62261">
        <w:rPr>
          <w:sz w:val="30"/>
          <w:szCs w:val="30"/>
        </w:rPr>
        <w:t xml:space="preserve">– </w:t>
      </w:r>
      <w:r w:rsidR="00F73E12">
        <w:rPr>
          <w:sz w:val="30"/>
          <w:szCs w:val="30"/>
          <w:lang w:val="be-BY"/>
        </w:rPr>
        <w:t>115,7</w:t>
      </w:r>
      <w:r w:rsidRPr="00A62261">
        <w:rPr>
          <w:sz w:val="30"/>
          <w:szCs w:val="30"/>
          <w:lang w:val="be-BY"/>
        </w:rPr>
        <w:t xml:space="preserve"> тыс. ру</w:t>
      </w:r>
      <w:r w:rsidRPr="00A62261">
        <w:rPr>
          <w:sz w:val="30"/>
          <w:szCs w:val="30"/>
        </w:rPr>
        <w:t>блей;</w:t>
      </w:r>
    </w:p>
    <w:p w:rsid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A62261">
        <w:rPr>
          <w:b/>
          <w:sz w:val="30"/>
          <w:szCs w:val="30"/>
        </w:rPr>
        <w:t>удешевления питания продуктами подсобного хозяйства</w:t>
      </w:r>
      <w:r w:rsidR="004D359E" w:rsidRPr="00A62261">
        <w:rPr>
          <w:b/>
          <w:sz w:val="30"/>
          <w:szCs w:val="30"/>
        </w:rPr>
        <w:t xml:space="preserve"> </w:t>
      </w:r>
      <w:r w:rsidRPr="00A62261">
        <w:rPr>
          <w:sz w:val="30"/>
          <w:szCs w:val="30"/>
        </w:rPr>
        <w:t>–</w:t>
      </w:r>
      <w:r w:rsidR="004D359E" w:rsidRPr="00A62261">
        <w:rPr>
          <w:sz w:val="30"/>
          <w:szCs w:val="30"/>
        </w:rPr>
        <w:t xml:space="preserve"> </w:t>
      </w:r>
      <w:r w:rsidR="00F73E12">
        <w:rPr>
          <w:sz w:val="30"/>
          <w:szCs w:val="30"/>
          <w:lang w:val="be-BY"/>
        </w:rPr>
        <w:t>6,4</w:t>
      </w:r>
      <w:r w:rsidRPr="00A62261">
        <w:rPr>
          <w:sz w:val="30"/>
          <w:szCs w:val="30"/>
          <w:lang w:val="be-BY"/>
        </w:rPr>
        <w:t xml:space="preserve"> тыс</w:t>
      </w:r>
      <w:r w:rsidRPr="00A62261">
        <w:rPr>
          <w:sz w:val="30"/>
          <w:szCs w:val="30"/>
        </w:rPr>
        <w:t>. рублей;</w:t>
      </w:r>
    </w:p>
    <w:p w:rsidR="00A62261" w:rsidRPr="00A62261" w:rsidRDefault="00A62261" w:rsidP="001A71E0">
      <w:pPr>
        <w:suppressAutoHyphens/>
        <w:ind w:firstLine="709"/>
        <w:jc w:val="both"/>
        <w:rPr>
          <w:sz w:val="30"/>
          <w:szCs w:val="30"/>
        </w:rPr>
      </w:pPr>
      <w:r w:rsidRPr="006C35D2">
        <w:rPr>
          <w:b/>
          <w:sz w:val="30"/>
          <w:szCs w:val="30"/>
        </w:rPr>
        <w:t xml:space="preserve">закрытие коек </w:t>
      </w:r>
      <w:r w:rsidR="00CE314B" w:rsidRPr="006C35D2">
        <w:rPr>
          <w:b/>
          <w:sz w:val="30"/>
          <w:szCs w:val="30"/>
        </w:rPr>
        <w:t>на период отпусков</w:t>
      </w:r>
      <w:r w:rsidR="00CE314B">
        <w:rPr>
          <w:sz w:val="30"/>
          <w:szCs w:val="30"/>
        </w:rPr>
        <w:t xml:space="preserve"> – 45,4 тыс. рублей;</w:t>
      </w:r>
    </w:p>
    <w:p w:rsidR="001A71E0" w:rsidRPr="00577465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A62261">
        <w:rPr>
          <w:b/>
          <w:sz w:val="30"/>
          <w:szCs w:val="30"/>
        </w:rPr>
        <w:t xml:space="preserve">сокращения штатных единиц – </w:t>
      </w:r>
      <w:r w:rsidR="00F73E12">
        <w:rPr>
          <w:sz w:val="30"/>
          <w:szCs w:val="30"/>
        </w:rPr>
        <w:t>79,5</w:t>
      </w:r>
      <w:r w:rsidR="000400B4" w:rsidRPr="00A62261">
        <w:rPr>
          <w:sz w:val="30"/>
          <w:szCs w:val="30"/>
        </w:rPr>
        <w:t xml:space="preserve"> тыс. рублей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 (проведена оптимизация сети и штатной численности учреждений социальной сферы (по отраслям образования</w:t>
      </w:r>
      <w:r w:rsidR="00A62261" w:rsidRPr="00A62261">
        <w:rPr>
          <w:rFonts w:eastAsiaTheme="minorHAnsi"/>
          <w:snapToGrid w:val="0"/>
          <w:sz w:val="30"/>
          <w:szCs w:val="30"/>
          <w:lang w:eastAsia="en-US"/>
        </w:rPr>
        <w:t>,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 культуры</w:t>
      </w:r>
      <w:r w:rsidR="00A62261" w:rsidRPr="00A62261">
        <w:rPr>
          <w:rFonts w:eastAsiaTheme="minorHAnsi"/>
          <w:snapToGrid w:val="0"/>
          <w:sz w:val="30"/>
          <w:szCs w:val="30"/>
          <w:lang w:eastAsia="en-US"/>
        </w:rPr>
        <w:t>, здравоохранения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) </w:t>
      </w:r>
      <w:r w:rsidR="00412128" w:rsidRPr="00A62261">
        <w:rPr>
          <w:rFonts w:eastAsiaTheme="minorHAnsi"/>
          <w:snapToGrid w:val="0"/>
          <w:sz w:val="30"/>
          <w:szCs w:val="30"/>
          <w:lang w:eastAsia="en-US"/>
        </w:rPr>
        <w:t>–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412128" w:rsidRPr="00A62261">
        <w:rPr>
          <w:rFonts w:eastAsiaTheme="minorHAnsi"/>
          <w:snapToGrid w:val="0"/>
          <w:sz w:val="30"/>
          <w:szCs w:val="30"/>
          <w:lang w:eastAsia="en-US"/>
        </w:rPr>
        <w:t xml:space="preserve">с 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>сокращен</w:t>
      </w:r>
      <w:r w:rsidR="00412128" w:rsidRPr="00A62261">
        <w:rPr>
          <w:rFonts w:eastAsiaTheme="minorHAnsi"/>
          <w:snapToGrid w:val="0"/>
          <w:sz w:val="30"/>
          <w:szCs w:val="30"/>
          <w:lang w:eastAsia="en-US"/>
        </w:rPr>
        <w:t>ием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A62261" w:rsidRPr="00A62261">
        <w:rPr>
          <w:rFonts w:eastAsiaTheme="minorHAnsi"/>
          <w:snapToGrid w:val="0"/>
          <w:sz w:val="30"/>
          <w:szCs w:val="30"/>
          <w:lang w:eastAsia="en-US"/>
        </w:rPr>
        <w:t>1</w:t>
      </w:r>
      <w:r w:rsidR="0005340E">
        <w:rPr>
          <w:rFonts w:eastAsiaTheme="minorHAnsi"/>
          <w:snapToGrid w:val="0"/>
          <w:sz w:val="30"/>
          <w:szCs w:val="30"/>
          <w:lang w:eastAsia="en-US"/>
        </w:rPr>
        <w:t>8,86</w:t>
      </w:r>
      <w:r w:rsidR="009401F6" w:rsidRPr="00A62261">
        <w:rPr>
          <w:rFonts w:eastAsiaTheme="minorHAnsi"/>
          <w:snapToGrid w:val="0"/>
          <w:sz w:val="30"/>
          <w:szCs w:val="30"/>
          <w:lang w:eastAsia="en-US"/>
        </w:rPr>
        <w:t xml:space="preserve"> шт. ед</w:t>
      </w:r>
      <w:r w:rsidR="00412128" w:rsidRPr="00A62261">
        <w:rPr>
          <w:rFonts w:eastAsiaTheme="minorHAnsi"/>
          <w:snapToGrid w:val="0"/>
          <w:sz w:val="30"/>
          <w:szCs w:val="30"/>
          <w:lang w:eastAsia="en-US"/>
        </w:rPr>
        <w:t>иниц</w:t>
      </w:r>
      <w:r w:rsidR="00A62261" w:rsidRPr="00A62261">
        <w:rPr>
          <w:rFonts w:eastAsiaTheme="minorHAnsi"/>
          <w:snapToGrid w:val="0"/>
          <w:sz w:val="30"/>
          <w:szCs w:val="30"/>
          <w:lang w:eastAsia="en-US"/>
        </w:rPr>
        <w:t>ы</w:t>
      </w:r>
      <w:r w:rsidR="00412128" w:rsidRPr="00A62261">
        <w:rPr>
          <w:rFonts w:eastAsiaTheme="minorHAnsi"/>
          <w:snapToGrid w:val="0"/>
          <w:sz w:val="30"/>
          <w:szCs w:val="30"/>
          <w:lang w:eastAsia="en-US"/>
        </w:rPr>
        <w:t>).</w:t>
      </w:r>
    </w:p>
    <w:p w:rsidR="002C28C3" w:rsidRPr="00577465" w:rsidRDefault="002C28C3" w:rsidP="00132EEA">
      <w:pPr>
        <w:tabs>
          <w:tab w:val="left" w:pos="851"/>
        </w:tabs>
        <w:jc w:val="both"/>
        <w:outlineLvl w:val="0"/>
        <w:rPr>
          <w:color w:val="FF0000"/>
          <w:sz w:val="30"/>
          <w:szCs w:val="30"/>
        </w:rPr>
      </w:pPr>
    </w:p>
    <w:p w:rsidR="00070CA6" w:rsidRDefault="005D36DC" w:rsidP="0005340E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05340E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sectPr w:rsidR="00070CA6" w:rsidRP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B4" w:rsidRDefault="000400B4" w:rsidP="00AA1263">
      <w:r>
        <w:separator/>
      </w:r>
    </w:p>
  </w:endnote>
  <w:endnote w:type="continuationSeparator" w:id="0">
    <w:p w:rsidR="000400B4" w:rsidRDefault="000400B4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B4" w:rsidRDefault="000400B4" w:rsidP="00AA1263">
      <w:r>
        <w:separator/>
      </w:r>
    </w:p>
  </w:footnote>
  <w:footnote w:type="continuationSeparator" w:id="0">
    <w:p w:rsidR="000400B4" w:rsidRDefault="000400B4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0329"/>
    <w:rsid w:val="0000392A"/>
    <w:rsid w:val="00005515"/>
    <w:rsid w:val="00012CB7"/>
    <w:rsid w:val="000151DF"/>
    <w:rsid w:val="00015726"/>
    <w:rsid w:val="00022A17"/>
    <w:rsid w:val="0002460F"/>
    <w:rsid w:val="000255C1"/>
    <w:rsid w:val="00030EE3"/>
    <w:rsid w:val="00031089"/>
    <w:rsid w:val="00036495"/>
    <w:rsid w:val="00036FF5"/>
    <w:rsid w:val="000400B4"/>
    <w:rsid w:val="00040CE0"/>
    <w:rsid w:val="00042F65"/>
    <w:rsid w:val="0005340E"/>
    <w:rsid w:val="00054636"/>
    <w:rsid w:val="0005655C"/>
    <w:rsid w:val="000646C1"/>
    <w:rsid w:val="00066272"/>
    <w:rsid w:val="00070CA6"/>
    <w:rsid w:val="00084A66"/>
    <w:rsid w:val="000863E8"/>
    <w:rsid w:val="000923FA"/>
    <w:rsid w:val="00094CC2"/>
    <w:rsid w:val="0009680B"/>
    <w:rsid w:val="00096A56"/>
    <w:rsid w:val="00097879"/>
    <w:rsid w:val="000A267E"/>
    <w:rsid w:val="000B0A67"/>
    <w:rsid w:val="000B390E"/>
    <w:rsid w:val="000C5042"/>
    <w:rsid w:val="000D219A"/>
    <w:rsid w:val="000D4FCE"/>
    <w:rsid w:val="000D6A87"/>
    <w:rsid w:val="000E038A"/>
    <w:rsid w:val="000F352B"/>
    <w:rsid w:val="000F4257"/>
    <w:rsid w:val="001005A7"/>
    <w:rsid w:val="00100865"/>
    <w:rsid w:val="0011759C"/>
    <w:rsid w:val="00123EE0"/>
    <w:rsid w:val="00125C52"/>
    <w:rsid w:val="00132EEA"/>
    <w:rsid w:val="0013368C"/>
    <w:rsid w:val="001348ED"/>
    <w:rsid w:val="00134FCF"/>
    <w:rsid w:val="00141C0F"/>
    <w:rsid w:val="00151F56"/>
    <w:rsid w:val="00167285"/>
    <w:rsid w:val="001735EE"/>
    <w:rsid w:val="001826E3"/>
    <w:rsid w:val="001854E7"/>
    <w:rsid w:val="00185B16"/>
    <w:rsid w:val="00185B6B"/>
    <w:rsid w:val="00185C91"/>
    <w:rsid w:val="00187109"/>
    <w:rsid w:val="00190215"/>
    <w:rsid w:val="001A38F0"/>
    <w:rsid w:val="001A71E0"/>
    <w:rsid w:val="001B2306"/>
    <w:rsid w:val="001C11C3"/>
    <w:rsid w:val="001C307B"/>
    <w:rsid w:val="001C33FE"/>
    <w:rsid w:val="001D11E3"/>
    <w:rsid w:val="001D61EB"/>
    <w:rsid w:val="001E0E9B"/>
    <w:rsid w:val="001F715C"/>
    <w:rsid w:val="001F74BF"/>
    <w:rsid w:val="001F7D22"/>
    <w:rsid w:val="00206C23"/>
    <w:rsid w:val="00211774"/>
    <w:rsid w:val="00213CE9"/>
    <w:rsid w:val="00220E78"/>
    <w:rsid w:val="00221E2C"/>
    <w:rsid w:val="00227626"/>
    <w:rsid w:val="002354F5"/>
    <w:rsid w:val="0024034F"/>
    <w:rsid w:val="002431A9"/>
    <w:rsid w:val="002433A7"/>
    <w:rsid w:val="002437A1"/>
    <w:rsid w:val="00247E89"/>
    <w:rsid w:val="00251551"/>
    <w:rsid w:val="00257B41"/>
    <w:rsid w:val="00261A01"/>
    <w:rsid w:val="00262E68"/>
    <w:rsid w:val="00270617"/>
    <w:rsid w:val="00280CEB"/>
    <w:rsid w:val="00282611"/>
    <w:rsid w:val="002837B7"/>
    <w:rsid w:val="00291CEC"/>
    <w:rsid w:val="00296B32"/>
    <w:rsid w:val="002A0541"/>
    <w:rsid w:val="002A3527"/>
    <w:rsid w:val="002B561E"/>
    <w:rsid w:val="002C0204"/>
    <w:rsid w:val="002C28C3"/>
    <w:rsid w:val="002C2FE0"/>
    <w:rsid w:val="002D531E"/>
    <w:rsid w:val="002D5DAB"/>
    <w:rsid w:val="002D644C"/>
    <w:rsid w:val="002F141D"/>
    <w:rsid w:val="002F5D99"/>
    <w:rsid w:val="003056B2"/>
    <w:rsid w:val="0030628C"/>
    <w:rsid w:val="00311217"/>
    <w:rsid w:val="00327675"/>
    <w:rsid w:val="00340A6D"/>
    <w:rsid w:val="0034174D"/>
    <w:rsid w:val="003437C2"/>
    <w:rsid w:val="003500D7"/>
    <w:rsid w:val="00350784"/>
    <w:rsid w:val="00352306"/>
    <w:rsid w:val="0035334D"/>
    <w:rsid w:val="00353975"/>
    <w:rsid w:val="00355855"/>
    <w:rsid w:val="00364E6F"/>
    <w:rsid w:val="0036519D"/>
    <w:rsid w:val="00365C04"/>
    <w:rsid w:val="00365F1C"/>
    <w:rsid w:val="00371A21"/>
    <w:rsid w:val="003724AD"/>
    <w:rsid w:val="00373141"/>
    <w:rsid w:val="003766CD"/>
    <w:rsid w:val="00397639"/>
    <w:rsid w:val="003A3380"/>
    <w:rsid w:val="003A7206"/>
    <w:rsid w:val="003B1840"/>
    <w:rsid w:val="003B41F3"/>
    <w:rsid w:val="003B4CCE"/>
    <w:rsid w:val="003B7325"/>
    <w:rsid w:val="003C2D89"/>
    <w:rsid w:val="003C3BC2"/>
    <w:rsid w:val="003C792F"/>
    <w:rsid w:val="003D1C2D"/>
    <w:rsid w:val="003D210A"/>
    <w:rsid w:val="003D6E15"/>
    <w:rsid w:val="003E3E62"/>
    <w:rsid w:val="003E7F51"/>
    <w:rsid w:val="004031BC"/>
    <w:rsid w:val="00412128"/>
    <w:rsid w:val="00413090"/>
    <w:rsid w:val="004223E4"/>
    <w:rsid w:val="0042776E"/>
    <w:rsid w:val="00441C3D"/>
    <w:rsid w:val="004447C6"/>
    <w:rsid w:val="0044630D"/>
    <w:rsid w:val="004528D8"/>
    <w:rsid w:val="00457368"/>
    <w:rsid w:val="0046426B"/>
    <w:rsid w:val="004652E0"/>
    <w:rsid w:val="00482B71"/>
    <w:rsid w:val="00487AA0"/>
    <w:rsid w:val="00491BB6"/>
    <w:rsid w:val="00497281"/>
    <w:rsid w:val="004C1455"/>
    <w:rsid w:val="004C7EAF"/>
    <w:rsid w:val="004D2267"/>
    <w:rsid w:val="004D359E"/>
    <w:rsid w:val="004D4258"/>
    <w:rsid w:val="004D72F5"/>
    <w:rsid w:val="004E0BA6"/>
    <w:rsid w:val="004E163C"/>
    <w:rsid w:val="004E6088"/>
    <w:rsid w:val="004E710E"/>
    <w:rsid w:val="004F7A82"/>
    <w:rsid w:val="00501BBC"/>
    <w:rsid w:val="005123FF"/>
    <w:rsid w:val="00513AE4"/>
    <w:rsid w:val="00515994"/>
    <w:rsid w:val="005203CE"/>
    <w:rsid w:val="00520861"/>
    <w:rsid w:val="0052437E"/>
    <w:rsid w:val="00524B28"/>
    <w:rsid w:val="00536415"/>
    <w:rsid w:val="005425D6"/>
    <w:rsid w:val="00545651"/>
    <w:rsid w:val="00552E65"/>
    <w:rsid w:val="005533B1"/>
    <w:rsid w:val="005534F2"/>
    <w:rsid w:val="0055551D"/>
    <w:rsid w:val="00561E80"/>
    <w:rsid w:val="005622A1"/>
    <w:rsid w:val="005622B0"/>
    <w:rsid w:val="00562E49"/>
    <w:rsid w:val="005631C6"/>
    <w:rsid w:val="005674BC"/>
    <w:rsid w:val="00571113"/>
    <w:rsid w:val="00571382"/>
    <w:rsid w:val="00572FBC"/>
    <w:rsid w:val="0057325B"/>
    <w:rsid w:val="00573ABE"/>
    <w:rsid w:val="00576F22"/>
    <w:rsid w:val="00577465"/>
    <w:rsid w:val="00582B7E"/>
    <w:rsid w:val="00584056"/>
    <w:rsid w:val="00585417"/>
    <w:rsid w:val="00590D80"/>
    <w:rsid w:val="00596D48"/>
    <w:rsid w:val="005A15E9"/>
    <w:rsid w:val="005A24BC"/>
    <w:rsid w:val="005B1CF8"/>
    <w:rsid w:val="005C3B59"/>
    <w:rsid w:val="005C5EB3"/>
    <w:rsid w:val="005D0D31"/>
    <w:rsid w:val="005D36DC"/>
    <w:rsid w:val="005E33C0"/>
    <w:rsid w:val="005E5A60"/>
    <w:rsid w:val="005E7D13"/>
    <w:rsid w:val="00600D08"/>
    <w:rsid w:val="00600F13"/>
    <w:rsid w:val="00601BAC"/>
    <w:rsid w:val="00607B48"/>
    <w:rsid w:val="00613278"/>
    <w:rsid w:val="0061333A"/>
    <w:rsid w:val="00622F10"/>
    <w:rsid w:val="00624668"/>
    <w:rsid w:val="00624B2C"/>
    <w:rsid w:val="00626BA3"/>
    <w:rsid w:val="00626DFB"/>
    <w:rsid w:val="006320C8"/>
    <w:rsid w:val="00646E11"/>
    <w:rsid w:val="00654649"/>
    <w:rsid w:val="006557DE"/>
    <w:rsid w:val="00666417"/>
    <w:rsid w:val="00674E53"/>
    <w:rsid w:val="006809CB"/>
    <w:rsid w:val="0068368D"/>
    <w:rsid w:val="00687590"/>
    <w:rsid w:val="006912CD"/>
    <w:rsid w:val="00696A0D"/>
    <w:rsid w:val="006A15C4"/>
    <w:rsid w:val="006A2166"/>
    <w:rsid w:val="006A25A7"/>
    <w:rsid w:val="006A5630"/>
    <w:rsid w:val="006A59C9"/>
    <w:rsid w:val="006B6201"/>
    <w:rsid w:val="006B67DC"/>
    <w:rsid w:val="006B70BD"/>
    <w:rsid w:val="006C0A6F"/>
    <w:rsid w:val="006C2FC1"/>
    <w:rsid w:val="006C2FFA"/>
    <w:rsid w:val="006C35D2"/>
    <w:rsid w:val="006C3A13"/>
    <w:rsid w:val="006C6704"/>
    <w:rsid w:val="006E6C8B"/>
    <w:rsid w:val="006F1A68"/>
    <w:rsid w:val="006F364E"/>
    <w:rsid w:val="006F398B"/>
    <w:rsid w:val="006F5170"/>
    <w:rsid w:val="006F66F3"/>
    <w:rsid w:val="0070449C"/>
    <w:rsid w:val="00710041"/>
    <w:rsid w:val="00710F58"/>
    <w:rsid w:val="007207B0"/>
    <w:rsid w:val="00720F0A"/>
    <w:rsid w:val="007254A8"/>
    <w:rsid w:val="00726044"/>
    <w:rsid w:val="007346CC"/>
    <w:rsid w:val="007355D3"/>
    <w:rsid w:val="007529A0"/>
    <w:rsid w:val="00756864"/>
    <w:rsid w:val="007611F1"/>
    <w:rsid w:val="007639C2"/>
    <w:rsid w:val="00765097"/>
    <w:rsid w:val="007663C9"/>
    <w:rsid w:val="00766D79"/>
    <w:rsid w:val="00772F4F"/>
    <w:rsid w:val="00780716"/>
    <w:rsid w:val="007812F7"/>
    <w:rsid w:val="007911EA"/>
    <w:rsid w:val="007947B2"/>
    <w:rsid w:val="007A6BE3"/>
    <w:rsid w:val="007A6F67"/>
    <w:rsid w:val="007A7697"/>
    <w:rsid w:val="007B3C6B"/>
    <w:rsid w:val="007B42FC"/>
    <w:rsid w:val="007C4341"/>
    <w:rsid w:val="007C6A2E"/>
    <w:rsid w:val="007D55A2"/>
    <w:rsid w:val="008015A9"/>
    <w:rsid w:val="0081172E"/>
    <w:rsid w:val="00814BC5"/>
    <w:rsid w:val="00815773"/>
    <w:rsid w:val="008173F1"/>
    <w:rsid w:val="008216FC"/>
    <w:rsid w:val="008375FC"/>
    <w:rsid w:val="0084278D"/>
    <w:rsid w:val="0084385D"/>
    <w:rsid w:val="00847489"/>
    <w:rsid w:val="00856FEB"/>
    <w:rsid w:val="00863B15"/>
    <w:rsid w:val="008674C4"/>
    <w:rsid w:val="00874E32"/>
    <w:rsid w:val="00874E97"/>
    <w:rsid w:val="00877DA8"/>
    <w:rsid w:val="00882F6D"/>
    <w:rsid w:val="00891D9F"/>
    <w:rsid w:val="008A3262"/>
    <w:rsid w:val="008A516F"/>
    <w:rsid w:val="008A5461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6D02"/>
    <w:rsid w:val="009062BF"/>
    <w:rsid w:val="009071FD"/>
    <w:rsid w:val="00910D8F"/>
    <w:rsid w:val="00911EE4"/>
    <w:rsid w:val="009156CE"/>
    <w:rsid w:val="0091652A"/>
    <w:rsid w:val="0091706D"/>
    <w:rsid w:val="00924B8B"/>
    <w:rsid w:val="00933530"/>
    <w:rsid w:val="0093494D"/>
    <w:rsid w:val="00937E24"/>
    <w:rsid w:val="009401F6"/>
    <w:rsid w:val="00943762"/>
    <w:rsid w:val="009461DC"/>
    <w:rsid w:val="00954FFB"/>
    <w:rsid w:val="0096435A"/>
    <w:rsid w:val="00976164"/>
    <w:rsid w:val="00980F4B"/>
    <w:rsid w:val="0098470D"/>
    <w:rsid w:val="00986987"/>
    <w:rsid w:val="00987284"/>
    <w:rsid w:val="00990F2B"/>
    <w:rsid w:val="009A1C01"/>
    <w:rsid w:val="009A4DD7"/>
    <w:rsid w:val="009B0C93"/>
    <w:rsid w:val="009C3ABA"/>
    <w:rsid w:val="009C5F1F"/>
    <w:rsid w:val="009D1ADB"/>
    <w:rsid w:val="009D43AE"/>
    <w:rsid w:val="009F39B1"/>
    <w:rsid w:val="00A10C62"/>
    <w:rsid w:val="00A122DB"/>
    <w:rsid w:val="00A62261"/>
    <w:rsid w:val="00A809AD"/>
    <w:rsid w:val="00A831AF"/>
    <w:rsid w:val="00A84030"/>
    <w:rsid w:val="00A841D6"/>
    <w:rsid w:val="00A9199A"/>
    <w:rsid w:val="00A91C42"/>
    <w:rsid w:val="00A95C2B"/>
    <w:rsid w:val="00A96EA0"/>
    <w:rsid w:val="00AA07E5"/>
    <w:rsid w:val="00AA08AD"/>
    <w:rsid w:val="00AA1263"/>
    <w:rsid w:val="00AA1822"/>
    <w:rsid w:val="00AC546F"/>
    <w:rsid w:val="00AD4FBB"/>
    <w:rsid w:val="00AE5F9A"/>
    <w:rsid w:val="00B02383"/>
    <w:rsid w:val="00B0405B"/>
    <w:rsid w:val="00B21031"/>
    <w:rsid w:val="00B246A4"/>
    <w:rsid w:val="00B254D7"/>
    <w:rsid w:val="00B3135F"/>
    <w:rsid w:val="00B34FC1"/>
    <w:rsid w:val="00B43BE8"/>
    <w:rsid w:val="00B443D0"/>
    <w:rsid w:val="00B4727A"/>
    <w:rsid w:val="00B5571D"/>
    <w:rsid w:val="00B64B2C"/>
    <w:rsid w:val="00B64BAC"/>
    <w:rsid w:val="00B65342"/>
    <w:rsid w:val="00B71D4D"/>
    <w:rsid w:val="00B76763"/>
    <w:rsid w:val="00B83DCC"/>
    <w:rsid w:val="00B92E30"/>
    <w:rsid w:val="00B95FF4"/>
    <w:rsid w:val="00B97D84"/>
    <w:rsid w:val="00BA0CC1"/>
    <w:rsid w:val="00BA42AE"/>
    <w:rsid w:val="00BA773F"/>
    <w:rsid w:val="00BB30A6"/>
    <w:rsid w:val="00BB6219"/>
    <w:rsid w:val="00BC0EBD"/>
    <w:rsid w:val="00BD00B0"/>
    <w:rsid w:val="00BD64F9"/>
    <w:rsid w:val="00BF039C"/>
    <w:rsid w:val="00BF04F1"/>
    <w:rsid w:val="00C04AE2"/>
    <w:rsid w:val="00C21A38"/>
    <w:rsid w:val="00C22C91"/>
    <w:rsid w:val="00C47517"/>
    <w:rsid w:val="00C5590E"/>
    <w:rsid w:val="00C57FD5"/>
    <w:rsid w:val="00C617D7"/>
    <w:rsid w:val="00C67EC5"/>
    <w:rsid w:val="00C76424"/>
    <w:rsid w:val="00C76DC5"/>
    <w:rsid w:val="00C80AF4"/>
    <w:rsid w:val="00C86F7C"/>
    <w:rsid w:val="00C872FB"/>
    <w:rsid w:val="00C97647"/>
    <w:rsid w:val="00CA0026"/>
    <w:rsid w:val="00CA29E4"/>
    <w:rsid w:val="00CA3156"/>
    <w:rsid w:val="00CA6F9B"/>
    <w:rsid w:val="00CC30D5"/>
    <w:rsid w:val="00CC52E8"/>
    <w:rsid w:val="00CD10A4"/>
    <w:rsid w:val="00CD1BF8"/>
    <w:rsid w:val="00CD254E"/>
    <w:rsid w:val="00CD2F36"/>
    <w:rsid w:val="00CD6CF8"/>
    <w:rsid w:val="00CD7CC3"/>
    <w:rsid w:val="00CE13E3"/>
    <w:rsid w:val="00CE1AEB"/>
    <w:rsid w:val="00CE2245"/>
    <w:rsid w:val="00CE2AB0"/>
    <w:rsid w:val="00CE314B"/>
    <w:rsid w:val="00CE7C44"/>
    <w:rsid w:val="00CF2886"/>
    <w:rsid w:val="00CF4B45"/>
    <w:rsid w:val="00D008DD"/>
    <w:rsid w:val="00D02EBC"/>
    <w:rsid w:val="00D03450"/>
    <w:rsid w:val="00D11D01"/>
    <w:rsid w:val="00D13788"/>
    <w:rsid w:val="00D22735"/>
    <w:rsid w:val="00D241D8"/>
    <w:rsid w:val="00D26C2F"/>
    <w:rsid w:val="00D33044"/>
    <w:rsid w:val="00D4018D"/>
    <w:rsid w:val="00D41AA1"/>
    <w:rsid w:val="00D436D3"/>
    <w:rsid w:val="00D5198C"/>
    <w:rsid w:val="00D52271"/>
    <w:rsid w:val="00D6011C"/>
    <w:rsid w:val="00D64AF2"/>
    <w:rsid w:val="00D7144B"/>
    <w:rsid w:val="00D72E8B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3522"/>
    <w:rsid w:val="00DD62EB"/>
    <w:rsid w:val="00DD6D36"/>
    <w:rsid w:val="00DD715C"/>
    <w:rsid w:val="00DE3F24"/>
    <w:rsid w:val="00DF0861"/>
    <w:rsid w:val="00DF0F7E"/>
    <w:rsid w:val="00DF28B3"/>
    <w:rsid w:val="00DF41A5"/>
    <w:rsid w:val="00E04840"/>
    <w:rsid w:val="00E06DE6"/>
    <w:rsid w:val="00E0702B"/>
    <w:rsid w:val="00E1302C"/>
    <w:rsid w:val="00E14A44"/>
    <w:rsid w:val="00E16A51"/>
    <w:rsid w:val="00E24859"/>
    <w:rsid w:val="00E32387"/>
    <w:rsid w:val="00E418DA"/>
    <w:rsid w:val="00E42A9A"/>
    <w:rsid w:val="00E440F8"/>
    <w:rsid w:val="00E5113E"/>
    <w:rsid w:val="00E6547F"/>
    <w:rsid w:val="00E71F8C"/>
    <w:rsid w:val="00E749CD"/>
    <w:rsid w:val="00E7609F"/>
    <w:rsid w:val="00E82794"/>
    <w:rsid w:val="00E85481"/>
    <w:rsid w:val="00E8761A"/>
    <w:rsid w:val="00EA115D"/>
    <w:rsid w:val="00EB6134"/>
    <w:rsid w:val="00EC19A1"/>
    <w:rsid w:val="00EC325F"/>
    <w:rsid w:val="00EC537F"/>
    <w:rsid w:val="00EC65B2"/>
    <w:rsid w:val="00ED0402"/>
    <w:rsid w:val="00ED7FBD"/>
    <w:rsid w:val="00EE104C"/>
    <w:rsid w:val="00EF17DF"/>
    <w:rsid w:val="00EF3573"/>
    <w:rsid w:val="00F00969"/>
    <w:rsid w:val="00F05F39"/>
    <w:rsid w:val="00F074AB"/>
    <w:rsid w:val="00F23BF3"/>
    <w:rsid w:val="00F2794D"/>
    <w:rsid w:val="00F356DB"/>
    <w:rsid w:val="00F455C7"/>
    <w:rsid w:val="00F51260"/>
    <w:rsid w:val="00F529EF"/>
    <w:rsid w:val="00F53E39"/>
    <w:rsid w:val="00F54097"/>
    <w:rsid w:val="00F57757"/>
    <w:rsid w:val="00F57812"/>
    <w:rsid w:val="00F73E12"/>
    <w:rsid w:val="00F83B41"/>
    <w:rsid w:val="00F86907"/>
    <w:rsid w:val="00F91D15"/>
    <w:rsid w:val="00F927DD"/>
    <w:rsid w:val="00F940E8"/>
    <w:rsid w:val="00FB11DC"/>
    <w:rsid w:val="00FB6EA2"/>
    <w:rsid w:val="00FD19BB"/>
    <w:rsid w:val="00FE41DB"/>
    <w:rsid w:val="00FE51AC"/>
    <w:rsid w:val="00FE5469"/>
    <w:rsid w:val="00FE623D"/>
    <w:rsid w:val="00FE6954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0F04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6393.8</c:v>
                </c:pt>
                <c:pt idx="1">
                  <c:v>984.1</c:v>
                </c:pt>
                <c:pt idx="2">
                  <c:v>19722.599999999999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2022г.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6798.5</c:v>
                </c:pt>
                <c:pt idx="1">
                  <c:v>832.1</c:v>
                </c:pt>
                <c:pt idx="2">
                  <c:v>20254.099999999999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11,1%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33,6%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12.865963671389244</c:v>
                </c:pt>
                <c:pt idx="1">
                  <c:v>8.0039390737426235</c:v>
                </c:pt>
                <c:pt idx="2">
                  <c:v>11.141540695375902</c:v>
                </c:pt>
                <c:pt idx="3">
                  <c:v>20.861995845283538</c:v>
                </c:pt>
                <c:pt idx="4">
                  <c:v>7.2556588244596352</c:v>
                </c:pt>
                <c:pt idx="5">
                  <c:v>33.563711642550622</c:v>
                </c:pt>
                <c:pt idx="6">
                  <c:v>6.0207448299657127</c:v>
                </c:pt>
                <c:pt idx="7" formatCode="0.00">
                  <c:v>0.28644541723272732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F033-6CC3-4655-89DA-09B3AF2F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162</cp:revision>
  <cp:lastPrinted>2015-09-18T08:12:00Z</cp:lastPrinted>
  <dcterms:created xsi:type="dcterms:W3CDTF">2016-01-14T05:44:00Z</dcterms:created>
  <dcterms:modified xsi:type="dcterms:W3CDTF">2023-02-03T09:24:00Z</dcterms:modified>
</cp:coreProperties>
</file>