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1C33FE">
        <w:rPr>
          <w:b/>
          <w:sz w:val="30"/>
          <w:szCs w:val="30"/>
        </w:rPr>
        <w:t xml:space="preserve">1 квартал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B95FF4">
        <w:rPr>
          <w:b/>
          <w:sz w:val="30"/>
          <w:szCs w:val="30"/>
        </w:rPr>
        <w:t>2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1C33FE">
        <w:rPr>
          <w:sz w:val="30"/>
          <w:szCs w:val="30"/>
        </w:rPr>
        <w:t xml:space="preserve">1 квартал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</w:t>
      </w:r>
      <w:r w:rsidR="00B95FF4">
        <w:rPr>
          <w:sz w:val="30"/>
          <w:szCs w:val="30"/>
        </w:rPr>
        <w:t>2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B95FF4">
        <w:rPr>
          <w:b/>
          <w:sz w:val="30"/>
          <w:szCs w:val="30"/>
        </w:rPr>
        <w:t>5 760,0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B95FF4">
        <w:rPr>
          <w:sz w:val="30"/>
          <w:szCs w:val="30"/>
          <w:lang w:eastAsia="en-US"/>
        </w:rPr>
        <w:t>1 599,8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ED7FBD">
        <w:rPr>
          <w:sz w:val="30"/>
          <w:szCs w:val="30"/>
          <w:lang w:eastAsia="en-US"/>
        </w:rPr>
        <w:t>2</w:t>
      </w:r>
      <w:r w:rsidR="006C2FC1">
        <w:rPr>
          <w:sz w:val="30"/>
          <w:szCs w:val="30"/>
          <w:lang w:eastAsia="en-US"/>
        </w:rPr>
        <w:t>7,</w:t>
      </w:r>
      <w:r w:rsidR="00B95FF4">
        <w:rPr>
          <w:sz w:val="30"/>
          <w:szCs w:val="30"/>
          <w:lang w:eastAsia="en-US"/>
        </w:rPr>
        <w:t>8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B95FF4">
        <w:rPr>
          <w:sz w:val="30"/>
          <w:szCs w:val="30"/>
          <w:lang w:eastAsia="en-US"/>
        </w:rPr>
        <w:t>219,3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257B41">
        <w:rPr>
          <w:sz w:val="30"/>
          <w:szCs w:val="30"/>
          <w:lang w:eastAsia="en-US"/>
        </w:rPr>
        <w:t>3,8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B95FF4">
        <w:rPr>
          <w:sz w:val="30"/>
          <w:szCs w:val="30"/>
          <w:lang w:eastAsia="en-US"/>
        </w:rPr>
        <w:t>3 940,9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257B41">
        <w:rPr>
          <w:sz w:val="30"/>
          <w:szCs w:val="30"/>
          <w:lang w:eastAsia="en-US"/>
        </w:rPr>
        <w:t>68,4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 xml:space="preserve">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B95FF4">
        <w:rPr>
          <w:sz w:val="30"/>
          <w:szCs w:val="30"/>
          <w:lang w:eastAsia="en-US"/>
        </w:rPr>
        <w:t>3 861,9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257B41" w:rsidRPr="00257B41" w:rsidRDefault="00CC30D5" w:rsidP="00257B41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 По сравнению с соответствующим периодом прошлого года </w:t>
      </w:r>
      <w:proofErr w:type="spellStart"/>
      <w:r w:rsidR="00257B41" w:rsidRPr="00257B41">
        <w:rPr>
          <w:i/>
          <w:sz w:val="30"/>
          <w:szCs w:val="30"/>
          <w:lang w:eastAsia="en-US"/>
        </w:rPr>
        <w:t>дотационность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 бюджета района увеличилась на 2,6 </w:t>
      </w:r>
      <w:proofErr w:type="spellStart"/>
      <w:r w:rsidR="00257B41" w:rsidRPr="00257B41">
        <w:rPr>
          <w:i/>
          <w:sz w:val="30"/>
          <w:szCs w:val="30"/>
          <w:lang w:eastAsia="en-US"/>
        </w:rPr>
        <w:t>п.п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., а с утвержденным бюджетом на 2022 год уменьшилась соответственно </w:t>
      </w:r>
      <w:bookmarkStart w:id="0" w:name="_Hlk68698025"/>
      <w:bookmarkStart w:id="1" w:name="_Hlk68698002"/>
      <w:r w:rsidR="00257B41" w:rsidRPr="00257B41">
        <w:rPr>
          <w:i/>
          <w:sz w:val="30"/>
          <w:szCs w:val="30"/>
          <w:lang w:eastAsia="en-US"/>
        </w:rPr>
        <w:t xml:space="preserve">на 1,0 </w:t>
      </w:r>
      <w:proofErr w:type="spellStart"/>
      <w:r w:rsidR="00257B41" w:rsidRPr="00257B41">
        <w:rPr>
          <w:i/>
          <w:sz w:val="30"/>
          <w:szCs w:val="30"/>
          <w:lang w:eastAsia="en-US"/>
        </w:rPr>
        <w:t>п.п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. </w:t>
      </w:r>
      <w:bookmarkEnd w:id="0"/>
      <w:bookmarkEnd w:id="1"/>
    </w:p>
    <w:p w:rsidR="00054636" w:rsidRDefault="00054636" w:rsidP="00585417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A72B6A" wp14:editId="4C397905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1 квартал</w:t>
      </w:r>
      <w:r w:rsidR="00BC0EBD">
        <w:rPr>
          <w:b/>
          <w:sz w:val="26"/>
          <w:szCs w:val="26"/>
        </w:rPr>
        <w:t xml:space="preserve"> 20</w:t>
      </w:r>
      <w:r w:rsidR="00DF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1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="004D2267">
        <w:rPr>
          <w:sz w:val="30"/>
          <w:szCs w:val="30"/>
          <w:lang w:eastAsia="en-US"/>
        </w:rPr>
        <w:t>45,5</w:t>
      </w:r>
      <w:r w:rsidR="001854E7">
        <w:rPr>
          <w:sz w:val="30"/>
          <w:szCs w:val="30"/>
          <w:lang w:eastAsia="en-US"/>
        </w:rPr>
        <w:t xml:space="preserve"> процента</w:t>
      </w:r>
      <w:r w:rsidRPr="00167285">
        <w:rPr>
          <w:sz w:val="30"/>
          <w:szCs w:val="30"/>
          <w:lang w:eastAsia="en-US"/>
        </w:rPr>
        <w:t xml:space="preserve"> (</w:t>
      </w:r>
      <w:r w:rsidR="0055551D">
        <w:rPr>
          <w:sz w:val="30"/>
          <w:szCs w:val="30"/>
          <w:lang w:eastAsia="en-US"/>
        </w:rPr>
        <w:t xml:space="preserve">826,8 </w:t>
      </w:r>
      <w:r w:rsidRPr="00167285">
        <w:rPr>
          <w:sz w:val="30"/>
          <w:szCs w:val="30"/>
          <w:lang w:eastAsia="en-US"/>
        </w:rPr>
        <w:t>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187109">
        <w:rPr>
          <w:sz w:val="30"/>
          <w:szCs w:val="30"/>
        </w:rPr>
        <w:t>2</w:t>
      </w:r>
      <w:r w:rsidR="004D2267">
        <w:rPr>
          <w:sz w:val="30"/>
          <w:szCs w:val="30"/>
        </w:rPr>
        <w:t>7,0</w:t>
      </w:r>
      <w:r w:rsidR="001854E7">
        <w:rPr>
          <w:sz w:val="30"/>
          <w:szCs w:val="30"/>
        </w:rPr>
        <w:t xml:space="preserve"> процентов</w:t>
      </w:r>
      <w:r w:rsidRPr="007B3FA1">
        <w:rPr>
          <w:sz w:val="30"/>
          <w:szCs w:val="30"/>
        </w:rPr>
        <w:t xml:space="preserve"> (</w:t>
      </w:r>
      <w:r w:rsidR="004D2267">
        <w:rPr>
          <w:sz w:val="30"/>
          <w:szCs w:val="30"/>
        </w:rPr>
        <w:t>491,1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C76424">
        <w:rPr>
          <w:sz w:val="30"/>
          <w:szCs w:val="30"/>
        </w:rPr>
        <w:t>5,2</w:t>
      </w:r>
      <w:r w:rsidR="001854E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C76424">
        <w:rPr>
          <w:sz w:val="30"/>
          <w:szCs w:val="30"/>
        </w:rPr>
        <w:t>94,2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1F715C">
        <w:rPr>
          <w:sz w:val="30"/>
          <w:szCs w:val="30"/>
        </w:rPr>
        <w:t>1</w:t>
      </w:r>
      <w:r w:rsidR="003C3BC2">
        <w:rPr>
          <w:sz w:val="30"/>
          <w:szCs w:val="30"/>
        </w:rPr>
        <w:t>2,1</w:t>
      </w:r>
      <w:r w:rsidR="00F455C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3C3BC2">
        <w:rPr>
          <w:sz w:val="30"/>
          <w:szCs w:val="30"/>
        </w:rPr>
        <w:t>219,3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3C3BC2">
        <w:rPr>
          <w:sz w:val="30"/>
          <w:szCs w:val="30"/>
        </w:rPr>
        <w:t>7,3</w:t>
      </w:r>
      <w:r w:rsidR="00F455C7">
        <w:rPr>
          <w:sz w:val="30"/>
          <w:szCs w:val="30"/>
        </w:rPr>
        <w:t xml:space="preserve"> процента</w:t>
      </w:r>
      <w:r>
        <w:rPr>
          <w:sz w:val="30"/>
          <w:szCs w:val="30"/>
        </w:rPr>
        <w:t xml:space="preserve"> (</w:t>
      </w:r>
      <w:r w:rsidR="003C3BC2">
        <w:rPr>
          <w:sz w:val="30"/>
          <w:szCs w:val="30"/>
        </w:rPr>
        <w:t>132,4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3C3BC2">
        <w:rPr>
          <w:b/>
          <w:sz w:val="30"/>
          <w:szCs w:val="30"/>
        </w:rPr>
        <w:t>7 279,4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3C3BC2">
        <w:rPr>
          <w:sz w:val="30"/>
          <w:szCs w:val="30"/>
        </w:rPr>
        <w:t>62,3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объема всех расходов (</w:t>
      </w:r>
      <w:r w:rsidR="003C3BC2">
        <w:rPr>
          <w:sz w:val="30"/>
          <w:szCs w:val="30"/>
        </w:rPr>
        <w:t>4 532,2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4E0BA6">
        <w:rPr>
          <w:sz w:val="30"/>
          <w:szCs w:val="30"/>
        </w:rPr>
        <w:t>11,9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(</w:t>
      </w:r>
      <w:r w:rsidR="004E0BA6">
        <w:rPr>
          <w:sz w:val="30"/>
          <w:szCs w:val="30"/>
        </w:rPr>
        <w:t>864,2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B97D84">
        <w:rPr>
          <w:b/>
          <w:sz w:val="26"/>
          <w:szCs w:val="26"/>
        </w:rPr>
        <w:t xml:space="preserve">1 квартал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4E0BA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096A56">
        <w:rPr>
          <w:sz w:val="30"/>
          <w:szCs w:val="30"/>
        </w:rPr>
        <w:t>82,1</w:t>
      </w:r>
      <w:r w:rsidR="00E440F8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847489">
        <w:rPr>
          <w:bCs/>
          <w:sz w:val="30"/>
          <w:szCs w:val="30"/>
        </w:rPr>
        <w:t>5 975,7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847489">
        <w:rPr>
          <w:bCs/>
          <w:sz w:val="30"/>
          <w:szCs w:val="30"/>
        </w:rPr>
        <w:t>4 133,5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364E6F">
        <w:rPr>
          <w:bCs/>
          <w:sz w:val="30"/>
          <w:szCs w:val="30"/>
        </w:rPr>
        <w:t>5</w:t>
      </w:r>
      <w:r w:rsidR="00847489">
        <w:rPr>
          <w:bCs/>
          <w:sz w:val="30"/>
          <w:szCs w:val="30"/>
        </w:rPr>
        <w:t>6,8</w:t>
      </w:r>
      <w:r w:rsidR="00E440F8"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0D6A87">
        <w:rPr>
          <w:sz w:val="30"/>
          <w:szCs w:val="30"/>
        </w:rPr>
        <w:t xml:space="preserve">1 квартал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847489">
        <w:rPr>
          <w:sz w:val="30"/>
          <w:szCs w:val="30"/>
        </w:rPr>
        <w:t>2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765097">
        <w:rPr>
          <w:b/>
          <w:sz w:val="30"/>
          <w:szCs w:val="30"/>
        </w:rPr>
        <w:t>120,3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847489">
        <w:rPr>
          <w:sz w:val="30"/>
          <w:szCs w:val="30"/>
          <w:lang w:val="be-BY"/>
        </w:rPr>
        <w:t>7</w:t>
      </w:r>
      <w:bookmarkStart w:id="2" w:name="_GoBack"/>
      <w:bookmarkEnd w:id="2"/>
      <w:r w:rsidRPr="00E7609F">
        <w:rPr>
          <w:sz w:val="30"/>
          <w:szCs w:val="30"/>
          <w:lang w:val="be-BY"/>
        </w:rPr>
        <w:t xml:space="preserve"> процент</w:t>
      </w:r>
      <w:r w:rsidR="00E440F8"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4D4258">
        <w:rPr>
          <w:b/>
          <w:color w:val="000000"/>
          <w:sz w:val="30"/>
          <w:szCs w:val="30"/>
        </w:rPr>
        <w:t>1 519,4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1A71E0" w:rsidRPr="00577465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Учреждениями социальной сферы за счет проведения </w:t>
      </w:r>
      <w:r w:rsidRPr="00577465">
        <w:rPr>
          <w:b/>
          <w:sz w:val="30"/>
          <w:szCs w:val="30"/>
        </w:rPr>
        <w:t>мероприятий по экономии</w:t>
      </w:r>
      <w:r w:rsidRPr="00577465">
        <w:rPr>
          <w:sz w:val="30"/>
          <w:szCs w:val="30"/>
        </w:rPr>
        <w:t xml:space="preserve"> бюджетных средств сэкономлено </w:t>
      </w:r>
      <w:r w:rsidR="007207B0" w:rsidRPr="00577465">
        <w:rPr>
          <w:b/>
          <w:sz w:val="30"/>
          <w:szCs w:val="30"/>
        </w:rPr>
        <w:t>95,4</w:t>
      </w:r>
      <w:r w:rsidRPr="00577465">
        <w:rPr>
          <w:b/>
          <w:sz w:val="30"/>
          <w:szCs w:val="30"/>
        </w:rPr>
        <w:t xml:space="preserve"> </w:t>
      </w:r>
      <w:r w:rsidR="004D359E" w:rsidRPr="00577465">
        <w:rPr>
          <w:sz w:val="30"/>
          <w:szCs w:val="30"/>
        </w:rPr>
        <w:t xml:space="preserve">тыс. рублей, или </w:t>
      </w:r>
      <w:r w:rsidR="007207B0" w:rsidRPr="00577465">
        <w:rPr>
          <w:sz w:val="30"/>
          <w:szCs w:val="30"/>
        </w:rPr>
        <w:t>1,3</w:t>
      </w:r>
      <w:r w:rsidRPr="00577465">
        <w:rPr>
          <w:sz w:val="30"/>
          <w:szCs w:val="30"/>
        </w:rPr>
        <w:t xml:space="preserve"> процент</w:t>
      </w:r>
      <w:r w:rsidR="000C5042" w:rsidRPr="00577465">
        <w:rPr>
          <w:sz w:val="30"/>
          <w:szCs w:val="30"/>
        </w:rPr>
        <w:t>а</w:t>
      </w:r>
      <w:r w:rsidRPr="00577465">
        <w:rPr>
          <w:sz w:val="30"/>
          <w:szCs w:val="30"/>
        </w:rPr>
        <w:t xml:space="preserve"> от бюджетного финансирования, из них за счет:</w:t>
      </w:r>
    </w:p>
    <w:p w:rsidR="000C5042" w:rsidRPr="00577465" w:rsidRDefault="00874E97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мероприятий </w:t>
      </w:r>
      <w:r w:rsidRPr="00577465">
        <w:rPr>
          <w:b/>
          <w:sz w:val="30"/>
          <w:szCs w:val="30"/>
        </w:rPr>
        <w:t xml:space="preserve">по энергосбережению </w:t>
      </w:r>
      <w:r w:rsidRPr="00577465">
        <w:rPr>
          <w:sz w:val="30"/>
          <w:szCs w:val="30"/>
        </w:rPr>
        <w:t>– 45,4 тыс. рублей</w:t>
      </w:r>
      <w:r w:rsidR="00577465" w:rsidRPr="00577465">
        <w:rPr>
          <w:sz w:val="30"/>
          <w:szCs w:val="30"/>
        </w:rPr>
        <w:t>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</w:rPr>
      </w:pPr>
      <w:r w:rsidRPr="00577465">
        <w:rPr>
          <w:b/>
          <w:sz w:val="30"/>
          <w:szCs w:val="30"/>
        </w:rPr>
        <w:lastRenderedPageBreak/>
        <w:t xml:space="preserve">прямых закупок медикаментов и продуктов питания </w:t>
      </w:r>
      <w:r w:rsidRPr="00577465">
        <w:rPr>
          <w:sz w:val="30"/>
          <w:szCs w:val="30"/>
        </w:rPr>
        <w:t xml:space="preserve">– </w:t>
      </w:r>
      <w:r w:rsidR="00577465" w:rsidRPr="00577465">
        <w:rPr>
          <w:sz w:val="30"/>
          <w:szCs w:val="30"/>
          <w:lang w:val="be-BY"/>
        </w:rPr>
        <w:t>44,6</w:t>
      </w:r>
      <w:r w:rsidRPr="00577465">
        <w:rPr>
          <w:sz w:val="30"/>
          <w:szCs w:val="30"/>
          <w:lang w:val="be-BY"/>
        </w:rPr>
        <w:t xml:space="preserve"> тыс. ру</w:t>
      </w:r>
      <w:r w:rsidRPr="00577465">
        <w:rPr>
          <w:sz w:val="30"/>
          <w:szCs w:val="30"/>
        </w:rPr>
        <w:t>блей;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>удешевления питания продуктами подсобного хозяйства</w:t>
      </w:r>
      <w:r w:rsidR="004D359E" w:rsidRPr="00577465">
        <w:rPr>
          <w:b/>
          <w:sz w:val="30"/>
          <w:szCs w:val="30"/>
        </w:rPr>
        <w:t xml:space="preserve"> </w:t>
      </w:r>
      <w:r w:rsidRPr="00577465">
        <w:rPr>
          <w:sz w:val="30"/>
          <w:szCs w:val="30"/>
        </w:rPr>
        <w:t>–</w:t>
      </w:r>
      <w:r w:rsidR="004D359E" w:rsidRPr="00577465">
        <w:rPr>
          <w:sz w:val="30"/>
          <w:szCs w:val="30"/>
        </w:rPr>
        <w:t xml:space="preserve"> </w:t>
      </w:r>
      <w:r w:rsidR="00577465" w:rsidRPr="00577465">
        <w:rPr>
          <w:sz w:val="30"/>
          <w:szCs w:val="30"/>
          <w:lang w:val="be-BY"/>
        </w:rPr>
        <w:t>3,0</w:t>
      </w:r>
      <w:r w:rsidRPr="00577465">
        <w:rPr>
          <w:sz w:val="30"/>
          <w:szCs w:val="30"/>
          <w:lang w:val="be-BY"/>
        </w:rPr>
        <w:t xml:space="preserve"> тыс</w:t>
      </w:r>
      <w:r w:rsidRPr="00577465">
        <w:rPr>
          <w:sz w:val="30"/>
          <w:szCs w:val="30"/>
        </w:rPr>
        <w:t>. рублей;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 xml:space="preserve">сокращения штатных единиц – </w:t>
      </w:r>
      <w:r w:rsidR="00577465" w:rsidRPr="00577465">
        <w:rPr>
          <w:sz w:val="30"/>
          <w:szCs w:val="30"/>
        </w:rPr>
        <w:t>2,4</w:t>
      </w:r>
      <w:r w:rsidR="000400B4" w:rsidRPr="00577465">
        <w:rPr>
          <w:sz w:val="30"/>
          <w:szCs w:val="30"/>
        </w:rPr>
        <w:t xml:space="preserve"> тыс. рублей</w:t>
      </w:r>
      <w:r w:rsidR="009401F6" w:rsidRPr="009401F6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9401F6">
        <w:rPr>
          <w:rFonts w:eastAsiaTheme="minorHAnsi"/>
          <w:snapToGrid w:val="0"/>
          <w:sz w:val="30"/>
          <w:szCs w:val="30"/>
          <w:lang w:eastAsia="en-US"/>
        </w:rPr>
        <w:t>(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 xml:space="preserve">проведена оптимизация сети и штатной численности учреждений социальной сферы (по отраслям образования и культуры) 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>–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 xml:space="preserve">с 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>сокращен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>ием</w:t>
      </w:r>
      <w:r w:rsidR="009401F6" w:rsidRPr="00577465">
        <w:rPr>
          <w:rFonts w:eastAsiaTheme="minorHAnsi"/>
          <w:snapToGrid w:val="0"/>
          <w:sz w:val="30"/>
          <w:szCs w:val="30"/>
          <w:lang w:eastAsia="en-US"/>
        </w:rPr>
        <w:t xml:space="preserve"> 2,75 шт. ед</w:t>
      </w:r>
      <w:r w:rsidR="00412128">
        <w:rPr>
          <w:rFonts w:eastAsiaTheme="minorHAnsi"/>
          <w:snapToGrid w:val="0"/>
          <w:sz w:val="30"/>
          <w:szCs w:val="30"/>
          <w:lang w:eastAsia="en-US"/>
        </w:rPr>
        <w:t>иниц).</w:t>
      </w:r>
    </w:p>
    <w:p w:rsidR="002C28C3" w:rsidRPr="00577465" w:rsidRDefault="002C28C3" w:rsidP="00132EEA">
      <w:pPr>
        <w:tabs>
          <w:tab w:val="left" w:pos="851"/>
        </w:tabs>
        <w:jc w:val="both"/>
        <w:outlineLvl w:val="0"/>
        <w:rPr>
          <w:color w:val="FF0000"/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460F"/>
    <w:rsid w:val="000255C1"/>
    <w:rsid w:val="00030EE3"/>
    <w:rsid w:val="00031089"/>
    <w:rsid w:val="00036495"/>
    <w:rsid w:val="00036FF5"/>
    <w:rsid w:val="000400B4"/>
    <w:rsid w:val="00040CE0"/>
    <w:rsid w:val="00042F65"/>
    <w:rsid w:val="00054636"/>
    <w:rsid w:val="000646C1"/>
    <w:rsid w:val="00066272"/>
    <w:rsid w:val="00070CA6"/>
    <w:rsid w:val="000863E8"/>
    <w:rsid w:val="000923FA"/>
    <w:rsid w:val="00094CC2"/>
    <w:rsid w:val="00096A56"/>
    <w:rsid w:val="00097879"/>
    <w:rsid w:val="000A267E"/>
    <w:rsid w:val="000B0A67"/>
    <w:rsid w:val="000B390E"/>
    <w:rsid w:val="000C5042"/>
    <w:rsid w:val="000D219A"/>
    <w:rsid w:val="000D4FCE"/>
    <w:rsid w:val="000D6A87"/>
    <w:rsid w:val="000F352B"/>
    <w:rsid w:val="001005A7"/>
    <w:rsid w:val="00100865"/>
    <w:rsid w:val="0011759C"/>
    <w:rsid w:val="00123EE0"/>
    <w:rsid w:val="00125C52"/>
    <w:rsid w:val="00132EEA"/>
    <w:rsid w:val="0013368C"/>
    <w:rsid w:val="001348ED"/>
    <w:rsid w:val="00151F56"/>
    <w:rsid w:val="00167285"/>
    <w:rsid w:val="001735EE"/>
    <w:rsid w:val="001854E7"/>
    <w:rsid w:val="00185B16"/>
    <w:rsid w:val="00185B6B"/>
    <w:rsid w:val="00187109"/>
    <w:rsid w:val="00190215"/>
    <w:rsid w:val="001A38F0"/>
    <w:rsid w:val="001A71E0"/>
    <w:rsid w:val="001C33FE"/>
    <w:rsid w:val="001D11E3"/>
    <w:rsid w:val="001D61EB"/>
    <w:rsid w:val="001E0E9B"/>
    <w:rsid w:val="001F715C"/>
    <w:rsid w:val="001F74BF"/>
    <w:rsid w:val="001F7D22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57B4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B561E"/>
    <w:rsid w:val="002C0204"/>
    <w:rsid w:val="002C28C3"/>
    <w:rsid w:val="002D531E"/>
    <w:rsid w:val="002D5DAB"/>
    <w:rsid w:val="002D644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4E6F"/>
    <w:rsid w:val="0036519D"/>
    <w:rsid w:val="00365F1C"/>
    <w:rsid w:val="003724AD"/>
    <w:rsid w:val="00373141"/>
    <w:rsid w:val="00397639"/>
    <w:rsid w:val="003A3380"/>
    <w:rsid w:val="003A7206"/>
    <w:rsid w:val="003B1840"/>
    <w:rsid w:val="003B41F3"/>
    <w:rsid w:val="003B4CCE"/>
    <w:rsid w:val="003B7325"/>
    <w:rsid w:val="003C2D89"/>
    <w:rsid w:val="003C3BC2"/>
    <w:rsid w:val="003C792F"/>
    <w:rsid w:val="003D1C2D"/>
    <w:rsid w:val="003D210A"/>
    <w:rsid w:val="003D6E15"/>
    <w:rsid w:val="003E3E62"/>
    <w:rsid w:val="004031BC"/>
    <w:rsid w:val="00412128"/>
    <w:rsid w:val="00413090"/>
    <w:rsid w:val="004447C6"/>
    <w:rsid w:val="0044630D"/>
    <w:rsid w:val="004528D8"/>
    <w:rsid w:val="00457368"/>
    <w:rsid w:val="0046426B"/>
    <w:rsid w:val="004652E0"/>
    <w:rsid w:val="00482B71"/>
    <w:rsid w:val="00487AA0"/>
    <w:rsid w:val="00497281"/>
    <w:rsid w:val="004C1455"/>
    <w:rsid w:val="004C7EAF"/>
    <w:rsid w:val="004D2267"/>
    <w:rsid w:val="004D359E"/>
    <w:rsid w:val="004D4258"/>
    <w:rsid w:val="004E0BA6"/>
    <w:rsid w:val="004E163C"/>
    <w:rsid w:val="004E6088"/>
    <w:rsid w:val="004E710E"/>
    <w:rsid w:val="004F7A82"/>
    <w:rsid w:val="00501BBC"/>
    <w:rsid w:val="005123FF"/>
    <w:rsid w:val="00513AE4"/>
    <w:rsid w:val="00515994"/>
    <w:rsid w:val="005203CE"/>
    <w:rsid w:val="00520861"/>
    <w:rsid w:val="0052437E"/>
    <w:rsid w:val="00524B28"/>
    <w:rsid w:val="005425D6"/>
    <w:rsid w:val="00545651"/>
    <w:rsid w:val="00552E65"/>
    <w:rsid w:val="005533B1"/>
    <w:rsid w:val="0055551D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77465"/>
    <w:rsid w:val="00584056"/>
    <w:rsid w:val="00585417"/>
    <w:rsid w:val="00596D48"/>
    <w:rsid w:val="005A15E9"/>
    <w:rsid w:val="005A24BC"/>
    <w:rsid w:val="005B1CF8"/>
    <w:rsid w:val="005C3B59"/>
    <w:rsid w:val="005C5EB3"/>
    <w:rsid w:val="005D0D31"/>
    <w:rsid w:val="005D36DC"/>
    <w:rsid w:val="005E33C0"/>
    <w:rsid w:val="005E5A60"/>
    <w:rsid w:val="005E7D13"/>
    <w:rsid w:val="00600D08"/>
    <w:rsid w:val="00600F13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74E53"/>
    <w:rsid w:val="006809CB"/>
    <w:rsid w:val="00687590"/>
    <w:rsid w:val="006912CD"/>
    <w:rsid w:val="006A15C4"/>
    <w:rsid w:val="006A2166"/>
    <w:rsid w:val="006A25A7"/>
    <w:rsid w:val="006A5630"/>
    <w:rsid w:val="006B6201"/>
    <w:rsid w:val="006B70BD"/>
    <w:rsid w:val="006C0A6F"/>
    <w:rsid w:val="006C2FC1"/>
    <w:rsid w:val="006C2FFA"/>
    <w:rsid w:val="006C3A13"/>
    <w:rsid w:val="006C6704"/>
    <w:rsid w:val="006E6C8B"/>
    <w:rsid w:val="006F364E"/>
    <w:rsid w:val="006F398B"/>
    <w:rsid w:val="006F5170"/>
    <w:rsid w:val="0070449C"/>
    <w:rsid w:val="00710041"/>
    <w:rsid w:val="00710F58"/>
    <w:rsid w:val="007207B0"/>
    <w:rsid w:val="00720F0A"/>
    <w:rsid w:val="00726044"/>
    <w:rsid w:val="007346CC"/>
    <w:rsid w:val="007355D3"/>
    <w:rsid w:val="007529A0"/>
    <w:rsid w:val="007611F1"/>
    <w:rsid w:val="007639C2"/>
    <w:rsid w:val="00765097"/>
    <w:rsid w:val="007663C9"/>
    <w:rsid w:val="00766D79"/>
    <w:rsid w:val="00772F4F"/>
    <w:rsid w:val="00780716"/>
    <w:rsid w:val="007812F7"/>
    <w:rsid w:val="007911EA"/>
    <w:rsid w:val="007947B2"/>
    <w:rsid w:val="007A6BE3"/>
    <w:rsid w:val="007A6F67"/>
    <w:rsid w:val="007A7697"/>
    <w:rsid w:val="007B42FC"/>
    <w:rsid w:val="007C4341"/>
    <w:rsid w:val="007D55A2"/>
    <w:rsid w:val="008015A9"/>
    <w:rsid w:val="0081172E"/>
    <w:rsid w:val="00814BC5"/>
    <w:rsid w:val="00815773"/>
    <w:rsid w:val="008173F1"/>
    <w:rsid w:val="008375FC"/>
    <w:rsid w:val="0084278D"/>
    <w:rsid w:val="0084385D"/>
    <w:rsid w:val="00847489"/>
    <w:rsid w:val="00856FEB"/>
    <w:rsid w:val="00863B15"/>
    <w:rsid w:val="008674C4"/>
    <w:rsid w:val="00874E97"/>
    <w:rsid w:val="00877DA8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24B8B"/>
    <w:rsid w:val="00933530"/>
    <w:rsid w:val="0093494D"/>
    <w:rsid w:val="00937E24"/>
    <w:rsid w:val="009401F6"/>
    <w:rsid w:val="00943762"/>
    <w:rsid w:val="00954FFB"/>
    <w:rsid w:val="0096435A"/>
    <w:rsid w:val="00976164"/>
    <w:rsid w:val="00980F4B"/>
    <w:rsid w:val="0098470D"/>
    <w:rsid w:val="00986987"/>
    <w:rsid w:val="009B0C93"/>
    <w:rsid w:val="009C3ABA"/>
    <w:rsid w:val="009C5F1F"/>
    <w:rsid w:val="009D1ADB"/>
    <w:rsid w:val="009D43AE"/>
    <w:rsid w:val="009F39B1"/>
    <w:rsid w:val="00A10C62"/>
    <w:rsid w:val="00A122DB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A1822"/>
    <w:rsid w:val="00AC546F"/>
    <w:rsid w:val="00AE5F9A"/>
    <w:rsid w:val="00B0405B"/>
    <w:rsid w:val="00B21031"/>
    <w:rsid w:val="00B246A4"/>
    <w:rsid w:val="00B34FC1"/>
    <w:rsid w:val="00B443D0"/>
    <w:rsid w:val="00B4727A"/>
    <w:rsid w:val="00B5571D"/>
    <w:rsid w:val="00B65342"/>
    <w:rsid w:val="00B71D4D"/>
    <w:rsid w:val="00B76763"/>
    <w:rsid w:val="00B83DCC"/>
    <w:rsid w:val="00B92E30"/>
    <w:rsid w:val="00B95FF4"/>
    <w:rsid w:val="00B97D84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22C91"/>
    <w:rsid w:val="00C47517"/>
    <w:rsid w:val="00C5590E"/>
    <w:rsid w:val="00C57FD5"/>
    <w:rsid w:val="00C617D7"/>
    <w:rsid w:val="00C76424"/>
    <w:rsid w:val="00C76DC5"/>
    <w:rsid w:val="00C80AF4"/>
    <w:rsid w:val="00C86F7C"/>
    <w:rsid w:val="00C872FB"/>
    <w:rsid w:val="00C97647"/>
    <w:rsid w:val="00CA0026"/>
    <w:rsid w:val="00CA29E4"/>
    <w:rsid w:val="00CA6F9B"/>
    <w:rsid w:val="00CC30D5"/>
    <w:rsid w:val="00CD10A4"/>
    <w:rsid w:val="00CD2F36"/>
    <w:rsid w:val="00CD7CC3"/>
    <w:rsid w:val="00CE13E3"/>
    <w:rsid w:val="00CE1AEB"/>
    <w:rsid w:val="00CE2245"/>
    <w:rsid w:val="00CE2AB0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2EB"/>
    <w:rsid w:val="00DD6D36"/>
    <w:rsid w:val="00DD715C"/>
    <w:rsid w:val="00DE3F24"/>
    <w:rsid w:val="00DF0861"/>
    <w:rsid w:val="00DF28B3"/>
    <w:rsid w:val="00DF41A5"/>
    <w:rsid w:val="00E06DE6"/>
    <w:rsid w:val="00E0702B"/>
    <w:rsid w:val="00E1302C"/>
    <w:rsid w:val="00E14A44"/>
    <w:rsid w:val="00E16A51"/>
    <w:rsid w:val="00E24859"/>
    <w:rsid w:val="00E32387"/>
    <w:rsid w:val="00E418DA"/>
    <w:rsid w:val="00E440F8"/>
    <w:rsid w:val="00E5113E"/>
    <w:rsid w:val="00E6547F"/>
    <w:rsid w:val="00E71F8C"/>
    <w:rsid w:val="00E749CD"/>
    <w:rsid w:val="00E7609F"/>
    <w:rsid w:val="00E82794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F05F39"/>
    <w:rsid w:val="00F074AB"/>
    <w:rsid w:val="00F23BF3"/>
    <w:rsid w:val="00F2794D"/>
    <w:rsid w:val="00F356DB"/>
    <w:rsid w:val="00F455C7"/>
    <w:rsid w:val="00F51260"/>
    <w:rsid w:val="00F529EF"/>
    <w:rsid w:val="00F53E39"/>
    <w:rsid w:val="00F54097"/>
    <w:rsid w:val="00F57757"/>
    <w:rsid w:val="00F57812"/>
    <w:rsid w:val="00F83B41"/>
    <w:rsid w:val="00F86907"/>
    <w:rsid w:val="00F91D15"/>
    <w:rsid w:val="00F927DD"/>
    <w:rsid w:val="00F940E8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47D1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1477</c:v>
                </c:pt>
                <c:pt idx="1">
                  <c:v>333.4</c:v>
                </c:pt>
                <c:pt idx="2">
                  <c:v>3643.2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1599.8</c:v>
                </c:pt>
                <c:pt idx="1">
                  <c:v>219.3</c:v>
                </c:pt>
                <c:pt idx="2">
                  <c:v>3940.9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12.400747314339094</c:v>
                </c:pt>
                <c:pt idx="1">
                  <c:v>13.45440558287771</c:v>
                </c:pt>
                <c:pt idx="2">
                  <c:v>11.871857570678904</c:v>
                </c:pt>
                <c:pt idx="3">
                  <c:v>19.978294914416022</c:v>
                </c:pt>
                <c:pt idx="4">
                  <c:v>6.3233233508256177</c:v>
                </c:pt>
                <c:pt idx="5">
                  <c:v>30.227766024672363</c:v>
                </c:pt>
                <c:pt idx="6">
                  <c:v>5.7312415858449874</c:v>
                </c:pt>
                <c:pt idx="7" formatCode="0.00">
                  <c:v>1.2363656345302091E-2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C0D8-9244-4555-A57D-21E60BE4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128</cp:revision>
  <cp:lastPrinted>2015-09-18T08:12:00Z</cp:lastPrinted>
  <dcterms:created xsi:type="dcterms:W3CDTF">2016-01-14T05:44:00Z</dcterms:created>
  <dcterms:modified xsi:type="dcterms:W3CDTF">2022-04-12T09:14:00Z</dcterms:modified>
</cp:coreProperties>
</file>